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97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807"/>
        <w:gridCol w:w="4440"/>
      </w:tblGrid>
      <w:tr>
        <w:tblPrEx/>
        <w:trPr/>
        <w:tc>
          <w:tcPr>
            <w:tcW w:w="5245" w:type="dxa"/>
            <w:textDirection w:val="lrTb"/>
            <w:noWrap w:val="false"/>
          </w:tcPr>
          <w:p>
            <w:pPr>
              <w:spacing w:after="200" w:line="276" w:lineRule="auto"/>
              <w:rPr>
                <w:lang w:eastAsia="ar-SA"/>
              </w:rPr>
            </w:pPr>
            <w:r/>
            <w:bookmarkStart w:id="0" w:name="_Toc158607684"/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W w:w="4500" w:type="dxa"/>
            <w:textDirection w:val="lrTb"/>
            <w:noWrap w:val="false"/>
          </w:tcPr>
          <w:p>
            <w:pPr>
              <w:ind w:firstLine="397"/>
              <w:spacing w:after="0"/>
              <w:rPr>
                <w:lang w:eastAsia="ar-SA"/>
              </w:rPr>
            </w:pPr>
            <w:r>
              <w:rPr>
                <w:lang w:eastAsia="ar-SA"/>
              </w:rPr>
              <w:t xml:space="preserve">УТВЕРЖДАЮ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ind w:firstLine="397"/>
              <w:spacing w:after="0"/>
              <w:rPr>
                <w:lang w:eastAsia="ar-SA"/>
              </w:rPr>
            </w:pPr>
            <w:r>
              <w:rPr>
                <w:lang w:eastAsia="ar-SA"/>
              </w:rPr>
              <w:t xml:space="preserve">Заместитель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генерального</w:t>
            </w:r>
            <w:r>
              <w:rPr>
                <w:lang w:eastAsia="ar-SA"/>
              </w:rPr>
              <w:t xml:space="preserve"> директора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ind w:firstLine="397"/>
              <w:spacing w:after="0"/>
              <w:rPr>
                <w:lang w:eastAsia="ar-SA"/>
              </w:rPr>
            </w:pPr>
            <w:r>
              <w:rPr>
                <w:lang w:eastAsia="ar-SA"/>
              </w:rPr>
              <w:t xml:space="preserve">по техническим вопросам 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ind w:firstLine="397"/>
              <w:spacing w:after="0"/>
              <w:rPr>
                <w:lang w:eastAsia="ar-SA"/>
              </w:rPr>
            </w:pPr>
            <w:r>
              <w:rPr>
                <w:lang w:eastAsia="ar-SA"/>
              </w:rPr>
              <w:t xml:space="preserve">главный инженер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ind w:firstLine="397"/>
              <w:spacing w:after="0"/>
              <w:rPr>
                <w:lang w:eastAsia="ar-SA"/>
              </w:rPr>
            </w:pPr>
            <w:r>
              <w:rPr>
                <w:lang w:eastAsia="ar-SA"/>
              </w:rPr>
              <w:t xml:space="preserve">АО «</w:t>
            </w:r>
            <w:r>
              <w:rPr>
                <w:lang w:eastAsia="ar-SA"/>
              </w:rPr>
              <w:t xml:space="preserve">Россети Сибирь </w:t>
            </w:r>
            <w:r>
              <w:rPr>
                <w:lang w:eastAsia="ar-SA"/>
              </w:rPr>
              <w:t xml:space="preserve">Тываэнерго»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ind w:firstLine="397"/>
              <w:spacing w:after="0"/>
              <w:rPr>
                <w:lang w:eastAsia="ar-SA"/>
              </w:rPr>
            </w:pPr>
            <w:r>
              <w:rPr>
                <w:lang w:eastAsia="ar-SA"/>
              </w:rPr>
              <w:t xml:space="preserve">__________________</w:t>
            </w:r>
            <w:r>
              <w:rPr>
                <w:lang w:eastAsia="ar-SA"/>
              </w:rPr>
              <w:t xml:space="preserve"> А</w:t>
            </w:r>
            <w:r>
              <w:rPr>
                <w:lang w:eastAsia="ar-SA"/>
              </w:rPr>
              <w:t xml:space="preserve">.И Таранков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ind w:firstLine="397"/>
              <w:spacing w:after="0"/>
              <w:rPr>
                <w:lang w:eastAsia="ar-SA"/>
              </w:rPr>
            </w:pPr>
            <w:r>
              <w:rPr>
                <w:lang w:eastAsia="ar-SA"/>
              </w:rPr>
              <w:t xml:space="preserve">"_____"________________20</w:t>
            </w:r>
            <w:r>
              <w:rPr>
                <w:lang w:eastAsia="ar-SA"/>
              </w:rPr>
              <w:t xml:space="preserve">25</w:t>
            </w:r>
            <w:bookmarkStart w:id="1" w:name="_GoBack"/>
            <w:r/>
            <w:bookmarkEnd w:id="1"/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г.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</w:tbl>
    <w:p>
      <w:pPr>
        <w:jc w:val="center"/>
        <w:keepLines/>
        <w:keepNext/>
        <w:spacing w:after="200" w:line="276" w:lineRule="auto"/>
        <w:rPr>
          <w:lang w:eastAsia="ar-SA"/>
        </w:rPr>
        <w:suppressLineNumbers/>
      </w:pPr>
      <w:r>
        <w:rPr>
          <w:lang w:eastAsia="ar-SA"/>
        </w:rPr>
      </w:r>
      <w:r>
        <w:rPr>
          <w:lang w:eastAsia="ar-SA"/>
        </w:rPr>
      </w:r>
      <w:r>
        <w:rPr>
          <w:lang w:eastAsia="ar-SA"/>
        </w:rPr>
      </w:r>
    </w:p>
    <w:p>
      <w:pPr>
        <w:ind w:firstLine="709"/>
        <w:jc w:val="center"/>
        <w:spacing w:after="0"/>
        <w:tabs>
          <w:tab w:val="center" w:pos="4818" w:leader="none"/>
          <w:tab w:val="left" w:pos="7200" w:leader="none"/>
        </w:tabs>
        <w:rPr>
          <w:b/>
          <w:lang w:eastAsia="ar-SA"/>
        </w:rPr>
        <w:outlineLvl w:val="0"/>
      </w:pPr>
      <w:r>
        <w:rPr>
          <w:b/>
          <w:lang w:eastAsia="ar-SA"/>
        </w:rPr>
        <w:t xml:space="preserve">ТЕХНИЧЕСКОЕ ЗАДАНИЕ</w:t>
      </w:r>
      <w:r>
        <w:rPr>
          <w:b/>
          <w:lang w:eastAsia="ar-SA"/>
        </w:rPr>
      </w:r>
      <w:r>
        <w:rPr>
          <w:b/>
          <w:lang w:eastAsia="ar-SA"/>
        </w:rPr>
      </w:r>
    </w:p>
    <w:p>
      <w:pPr>
        <w:ind w:firstLine="709"/>
        <w:jc w:val="center"/>
        <w:spacing w:after="0"/>
        <w:widowControl w:val="off"/>
        <w:rPr>
          <w:bCs/>
          <w:iCs/>
          <w:lang w:eastAsia="ar-SA"/>
        </w:rPr>
      </w:pPr>
      <w:r>
        <w:rPr>
          <w:bCs/>
          <w:iCs/>
          <w:lang w:eastAsia="ar-SA"/>
        </w:rPr>
        <w:t xml:space="preserve">н</w:t>
      </w:r>
      <w:r>
        <w:rPr>
          <w:bCs/>
          <w:iCs/>
          <w:lang w:eastAsia="ar-SA"/>
        </w:rPr>
        <w:t xml:space="preserve">а выполнение работ по </w:t>
      </w:r>
      <w:r>
        <w:t xml:space="preserve">техническому обслуживанию оборудования автоматических установок пожарной сигнализации</w:t>
      </w:r>
      <w:r>
        <w:t xml:space="preserve"> в</w:t>
      </w:r>
      <w:r>
        <w:t xml:space="preserve"> зданиях</w:t>
      </w:r>
      <w:r>
        <w:rPr>
          <w:bCs/>
          <w:iCs/>
          <w:lang w:eastAsia="ar-SA"/>
        </w:rPr>
        <w:t xml:space="preserve"> АО «</w:t>
      </w:r>
      <w:r>
        <w:rPr>
          <w:bCs/>
          <w:iCs/>
          <w:lang w:eastAsia="ar-SA"/>
        </w:rPr>
        <w:t xml:space="preserve">Ро</w:t>
      </w:r>
      <w:r>
        <w:rPr>
          <w:bCs/>
          <w:iCs/>
          <w:lang w:eastAsia="ar-SA"/>
        </w:rPr>
        <w:t xml:space="preserve">ссети</w:t>
      </w:r>
      <w:r>
        <w:rPr>
          <w:bCs/>
          <w:iCs/>
          <w:lang w:eastAsia="ar-SA"/>
        </w:rPr>
        <w:t xml:space="preserve"> Сибирь </w:t>
      </w:r>
      <w:r>
        <w:rPr>
          <w:bCs/>
          <w:iCs/>
          <w:lang w:eastAsia="ar-SA"/>
        </w:rPr>
        <w:t xml:space="preserve">Тываэнерго</w:t>
      </w:r>
      <w:r>
        <w:rPr>
          <w:bCs/>
          <w:iCs/>
          <w:lang w:eastAsia="ar-SA"/>
        </w:rPr>
        <w:t xml:space="preserve">» на 2025-2026</w:t>
      </w:r>
      <w:r>
        <w:rPr>
          <w:bCs/>
          <w:iCs/>
          <w:lang w:eastAsia="ar-SA"/>
        </w:rPr>
        <w:t xml:space="preserve"> </w:t>
      </w:r>
      <w:r>
        <w:rPr>
          <w:bCs/>
          <w:iCs/>
          <w:lang w:eastAsia="ar-SA"/>
        </w:rPr>
        <w:t xml:space="preserve">год.</w:t>
      </w:r>
      <w:r>
        <w:rPr>
          <w:bCs/>
          <w:iCs/>
          <w:lang w:eastAsia="ar-SA"/>
        </w:rPr>
      </w:r>
      <w:r>
        <w:rPr>
          <w:bCs/>
          <w:iCs/>
          <w:lang w:eastAsia="ar-SA"/>
        </w:rPr>
      </w:r>
    </w:p>
    <w:p>
      <w:pPr>
        <w:ind w:firstLine="709"/>
        <w:spacing w:after="0"/>
        <w:widowControl w:val="off"/>
        <w:rPr>
          <w:b/>
          <w:bCs/>
          <w:lang w:eastAsia="ar-SA"/>
        </w:rPr>
      </w:pPr>
      <w:r>
        <w:rPr>
          <w:b/>
          <w:bCs/>
          <w:lang w:eastAsia="ar-SA"/>
        </w:rPr>
      </w:r>
      <w:r>
        <w:rPr>
          <w:b/>
          <w:bCs/>
          <w:lang w:eastAsia="ar-SA"/>
        </w:rPr>
      </w:r>
      <w:r>
        <w:rPr>
          <w:b/>
          <w:bCs/>
          <w:lang w:eastAsia="ar-SA"/>
        </w:rPr>
      </w:r>
    </w:p>
    <w:p>
      <w:pPr>
        <w:pStyle w:val="898"/>
        <w:ind w:left="0" w:firstLine="709"/>
        <w:jc w:val="both"/>
        <w:rPr>
          <w:b/>
          <w:bCs/>
          <w:iCs/>
          <w:sz w:val="24"/>
          <w:szCs w:val="24"/>
          <w:lang w:eastAsia="ar-SA"/>
        </w:rPr>
      </w:pPr>
      <w:r>
        <w:rPr>
          <w:b/>
          <w:bCs/>
          <w:iCs/>
          <w:sz w:val="24"/>
          <w:szCs w:val="24"/>
          <w:lang w:eastAsia="ar-SA"/>
        </w:rPr>
        <w:t xml:space="preserve">1. Общие положения.</w:t>
      </w:r>
      <w:r>
        <w:rPr>
          <w:b/>
          <w:bCs/>
          <w:iCs/>
          <w:sz w:val="24"/>
          <w:szCs w:val="24"/>
          <w:lang w:eastAsia="ar-SA"/>
        </w:rPr>
      </w:r>
      <w:r>
        <w:rPr>
          <w:b/>
          <w:bCs/>
          <w:iCs/>
          <w:sz w:val="24"/>
          <w:szCs w:val="24"/>
          <w:lang w:eastAsia="ar-SA"/>
        </w:rPr>
      </w:r>
    </w:p>
    <w:p>
      <w:pPr>
        <w:pStyle w:val="898"/>
        <w:ind w:left="0" w:firstLine="709"/>
        <w:jc w:val="both"/>
        <w:rPr>
          <w:b/>
          <w:bCs/>
          <w:iCs/>
          <w:sz w:val="24"/>
          <w:szCs w:val="24"/>
          <w:lang w:eastAsia="ar-SA"/>
        </w:rPr>
      </w:pPr>
      <w:r>
        <w:rPr>
          <w:b/>
          <w:bCs/>
          <w:iCs/>
          <w:sz w:val="24"/>
          <w:szCs w:val="24"/>
          <w:lang w:eastAsia="ar-SA"/>
        </w:rPr>
        <w:t xml:space="preserve">1.1 Заказчик: АО «</w:t>
      </w:r>
      <w:r>
        <w:rPr>
          <w:b/>
          <w:bCs/>
          <w:iCs/>
          <w:sz w:val="24"/>
          <w:szCs w:val="24"/>
          <w:lang w:eastAsia="ar-SA"/>
        </w:rPr>
        <w:t xml:space="preserve">Россети Сибирь </w:t>
      </w:r>
      <w:r>
        <w:rPr>
          <w:b/>
          <w:bCs/>
          <w:iCs/>
          <w:sz w:val="24"/>
          <w:szCs w:val="24"/>
          <w:lang w:eastAsia="ar-SA"/>
        </w:rPr>
        <w:t xml:space="preserve">Тываэнерго»</w:t>
      </w:r>
      <w:r>
        <w:rPr>
          <w:b/>
          <w:bCs/>
          <w:iCs/>
          <w:sz w:val="24"/>
          <w:szCs w:val="24"/>
          <w:lang w:eastAsia="ar-SA"/>
        </w:rPr>
      </w:r>
      <w:r>
        <w:rPr>
          <w:b/>
          <w:bCs/>
          <w:iCs/>
          <w:sz w:val="24"/>
          <w:szCs w:val="24"/>
          <w:lang w:eastAsia="ar-SA"/>
        </w:rPr>
      </w:r>
    </w:p>
    <w:p>
      <w:pPr>
        <w:pStyle w:val="898"/>
        <w:ind w:left="0" w:firstLine="709"/>
        <w:jc w:val="both"/>
        <w:rPr>
          <w:bCs/>
          <w:color w:val="000000" w:themeColor="text1"/>
          <w:sz w:val="24"/>
          <w:szCs w:val="24"/>
        </w:rPr>
      </w:pPr>
      <w:r>
        <w:rPr>
          <w:b/>
          <w:bCs/>
          <w:iCs/>
          <w:sz w:val="24"/>
          <w:szCs w:val="24"/>
          <w:lang w:eastAsia="ar-SA"/>
        </w:rPr>
        <w:t xml:space="preserve">1.2 Предмет закупки: </w:t>
      </w:r>
      <w:r>
        <w:rPr>
          <w:bCs/>
          <w:color w:val="000000" w:themeColor="text1"/>
          <w:sz w:val="24"/>
          <w:szCs w:val="24"/>
        </w:rPr>
        <w:t xml:space="preserve">Выполнение работ по </w:t>
      </w:r>
      <w:r>
        <w:rPr>
          <w:sz w:val="24"/>
          <w:szCs w:val="24"/>
        </w:rPr>
        <w:t xml:space="preserve">техническому обслуживанию оборудования автоматических установок пожарной сигнализации, установленных в складских помещениях, автомобильных гаражах, зданиях общего назначения, административных зданиях</w:t>
      </w:r>
      <w:r>
        <w:rPr>
          <w:bCs/>
          <w:iCs/>
          <w:sz w:val="24"/>
          <w:szCs w:val="24"/>
          <w:lang w:eastAsia="ar-SA"/>
        </w:rPr>
        <w:t xml:space="preserve"> АО «</w:t>
      </w:r>
      <w:r>
        <w:rPr>
          <w:bCs/>
          <w:iCs/>
          <w:sz w:val="24"/>
          <w:szCs w:val="24"/>
          <w:lang w:eastAsia="ar-SA"/>
        </w:rPr>
        <w:t xml:space="preserve">Россети</w:t>
      </w:r>
      <w:r>
        <w:rPr>
          <w:bCs/>
          <w:iCs/>
          <w:sz w:val="24"/>
          <w:szCs w:val="24"/>
          <w:lang w:eastAsia="ar-SA"/>
        </w:rPr>
        <w:t xml:space="preserve"> Сибирь </w:t>
      </w:r>
      <w:r>
        <w:rPr>
          <w:bCs/>
          <w:iCs/>
          <w:sz w:val="24"/>
          <w:szCs w:val="24"/>
          <w:lang w:eastAsia="ar-SA"/>
        </w:rPr>
        <w:t xml:space="preserve">Тываэнерго</w:t>
      </w:r>
      <w:r>
        <w:rPr>
          <w:bCs/>
          <w:iCs/>
          <w:sz w:val="24"/>
          <w:szCs w:val="24"/>
          <w:lang w:eastAsia="ar-SA"/>
        </w:rPr>
        <w:t xml:space="preserve">» на 2025-2026</w:t>
      </w:r>
      <w:r>
        <w:rPr>
          <w:bCs/>
          <w:iCs/>
          <w:sz w:val="24"/>
          <w:szCs w:val="24"/>
          <w:lang w:eastAsia="ar-SA"/>
        </w:rPr>
        <w:t xml:space="preserve"> год</w:t>
      </w:r>
      <w:r>
        <w:rPr>
          <w:bCs/>
          <w:color w:val="000000" w:themeColor="text1"/>
          <w:sz w:val="24"/>
          <w:szCs w:val="24"/>
        </w:rPr>
        <w:t xml:space="preserve">.</w:t>
      </w:r>
      <w:r>
        <w:rPr>
          <w:bCs/>
          <w:color w:val="000000" w:themeColor="text1"/>
          <w:sz w:val="24"/>
          <w:szCs w:val="24"/>
        </w:rPr>
      </w:r>
      <w:r>
        <w:rPr>
          <w:bCs/>
          <w:color w:val="000000" w:themeColor="text1"/>
          <w:sz w:val="24"/>
          <w:szCs w:val="24"/>
        </w:rPr>
      </w:r>
    </w:p>
    <w:p>
      <w:pPr>
        <w:pStyle w:val="898"/>
        <w:ind w:left="0" w:firstLine="709"/>
        <w:jc w:val="both"/>
        <w:rPr>
          <w:b/>
          <w:bCs/>
          <w:iCs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</w:rPr>
        <w:t xml:space="preserve">1.3</w:t>
      </w:r>
      <w:r>
        <w:rPr>
          <w:bCs/>
          <w:color w:val="000000" w:themeColor="text1"/>
          <w:sz w:val="24"/>
          <w:szCs w:val="24"/>
        </w:rPr>
        <w:t xml:space="preserve"> Начальная (мак</w:t>
      </w:r>
      <w:r>
        <w:rPr>
          <w:bCs/>
          <w:color w:val="000000" w:themeColor="text1"/>
          <w:sz w:val="24"/>
          <w:szCs w:val="24"/>
        </w:rPr>
        <w:t xml:space="preserve">симальная) стоимость закупк</w:t>
      </w:r>
      <w:r>
        <w:rPr>
          <w:bCs/>
          <w:color w:val="000000" w:themeColor="text1"/>
          <w:sz w:val="24"/>
          <w:szCs w:val="24"/>
          <w:highlight w:val="white"/>
        </w:rPr>
        <w:t xml:space="preserve">и</w:t>
      </w:r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380 000 руб.</w:t>
      </w:r>
      <w:r>
        <w:rPr>
          <w:bCs/>
          <w:color w:val="000000" w:themeColor="text1"/>
          <w:sz w:val="24"/>
          <w:szCs w:val="24"/>
          <w:highlight w:val="white"/>
        </w:rPr>
        <w:t xml:space="preserve"> без НДС</w:t>
      </w:r>
      <w:r>
        <w:rPr>
          <w:bCs/>
          <w:color w:val="000000" w:themeColor="text1"/>
          <w:sz w:val="24"/>
          <w:szCs w:val="24"/>
          <w:highlight w:val="white"/>
        </w:rPr>
        <w:t xml:space="preserve">.</w:t>
      </w:r>
      <w:r>
        <w:rPr>
          <w:b/>
          <w:bCs/>
          <w:iCs/>
          <w:sz w:val="24"/>
          <w:szCs w:val="24"/>
          <w:highlight w:val="white"/>
        </w:rPr>
      </w:r>
      <w:r>
        <w:rPr>
          <w:b/>
          <w:bCs/>
          <w:iCs/>
          <w:sz w:val="24"/>
          <w:szCs w:val="24"/>
          <w:highlight w:val="white"/>
        </w:rPr>
      </w:r>
    </w:p>
    <w:p>
      <w:pPr>
        <w:ind w:firstLine="709"/>
        <w:spacing w:after="0"/>
        <w:widowControl w:val="off"/>
        <w:rPr>
          <w:b/>
          <w:color w:val="ff0000"/>
          <w:lang w:eastAsia="ar-SA"/>
        </w:rPr>
      </w:pPr>
      <w:r>
        <w:rPr>
          <w:b/>
          <w:color w:val="ff0000"/>
          <w:lang w:eastAsia="ar-SA"/>
        </w:rPr>
      </w:r>
      <w:r>
        <w:rPr>
          <w:b/>
          <w:color w:val="ff0000"/>
          <w:lang w:eastAsia="ar-SA"/>
        </w:rPr>
      </w:r>
      <w:r>
        <w:rPr>
          <w:b/>
          <w:color w:val="ff0000"/>
          <w:lang w:eastAsia="ar-SA"/>
        </w:rPr>
      </w:r>
    </w:p>
    <w:p>
      <w:pPr>
        <w:ind w:firstLine="709"/>
        <w:spacing w:after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2. Место оказания услуг.</w:t>
      </w:r>
      <w:r>
        <w:rPr>
          <w:b/>
          <w:bCs/>
          <w:lang w:eastAsia="en-US"/>
        </w:rPr>
      </w:r>
      <w:r>
        <w:rPr>
          <w:b/>
          <w:bCs/>
          <w:lang w:eastAsia="en-US"/>
        </w:rPr>
      </w:r>
    </w:p>
    <w:p>
      <w:pPr>
        <w:pStyle w:val="898"/>
        <w:ind w:left="0" w:firstLine="709"/>
        <w:jc w:val="both"/>
        <w:tabs>
          <w:tab w:val="right" w:pos="9639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Техническое обслуживание оборудования автоматических установок пожарной сигнализации, установленных в складских помещениях, автомобильных гаражах, зданиях общего назначения, административных зданиях, находящихся по адресам: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after="0"/>
        <w:tabs>
          <w:tab w:val="right" w:pos="9639" w:leader="underscore"/>
        </w:tabs>
      </w:pPr>
      <w:r>
        <w:t xml:space="preserve">- </w:t>
      </w:r>
      <w:r>
        <w:t xml:space="preserve">Самагалтайский</w:t>
      </w:r>
      <w:r>
        <w:t xml:space="preserve"> участок ЮРЭС (адм. здание и гараж)</w:t>
      </w:r>
      <w:r>
        <w:t xml:space="preserve"> с. Самагалтай, ул. Подстанция, б/н;</w:t>
      </w:r>
      <w:r/>
    </w:p>
    <w:p>
      <w:pPr>
        <w:pStyle w:val="898"/>
        <w:ind w:left="0" w:firstLine="709"/>
        <w:jc w:val="both"/>
        <w:tabs>
          <w:tab w:val="num" w:pos="0" w:leader="none"/>
          <w:tab w:val="right" w:pos="9639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Чаданский</w:t>
      </w:r>
      <w:r>
        <w:rPr>
          <w:sz w:val="24"/>
          <w:szCs w:val="24"/>
        </w:rPr>
        <w:t xml:space="preserve"> участок ЗРЭС (адм. здание и гараж)</w:t>
      </w:r>
      <w:r>
        <w:rPr>
          <w:sz w:val="24"/>
          <w:szCs w:val="24"/>
        </w:rPr>
        <w:t xml:space="preserve"> г. Чадан, ул. </w:t>
      </w:r>
      <w:r>
        <w:rPr>
          <w:sz w:val="24"/>
          <w:szCs w:val="24"/>
        </w:rPr>
        <w:t xml:space="preserve">Монгуш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Бюрбю</w:t>
      </w:r>
      <w:r>
        <w:rPr>
          <w:sz w:val="24"/>
          <w:szCs w:val="24"/>
        </w:rPr>
        <w:t xml:space="preserve">, д. 33;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8"/>
        <w:ind w:left="0" w:firstLine="709"/>
        <w:jc w:val="both"/>
        <w:tabs>
          <w:tab w:val="num" w:pos="0" w:leader="none"/>
          <w:tab w:val="right" w:pos="9639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Шагонарский</w:t>
      </w:r>
      <w:r>
        <w:rPr>
          <w:sz w:val="24"/>
          <w:szCs w:val="24"/>
        </w:rPr>
        <w:t xml:space="preserve"> участок ВРЭС (адм. здание и гараж)</w:t>
      </w:r>
      <w:r>
        <w:rPr>
          <w:sz w:val="24"/>
          <w:szCs w:val="24"/>
        </w:rPr>
        <w:t xml:space="preserve"> г. </w:t>
      </w:r>
      <w:r>
        <w:rPr>
          <w:sz w:val="24"/>
          <w:szCs w:val="24"/>
        </w:rPr>
        <w:t xml:space="preserve">Шагонар</w:t>
      </w:r>
      <w:r>
        <w:rPr>
          <w:sz w:val="24"/>
          <w:szCs w:val="24"/>
        </w:rPr>
        <w:t xml:space="preserve">, ул. Магистральная, д. 7;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8"/>
        <w:ind w:left="0" w:firstLine="709"/>
        <w:jc w:val="both"/>
        <w:tabs>
          <w:tab w:val="num" w:pos="0" w:leader="none"/>
          <w:tab w:val="right" w:pos="9639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Балгазынский</w:t>
      </w:r>
      <w:r>
        <w:rPr>
          <w:sz w:val="24"/>
          <w:szCs w:val="24"/>
        </w:rPr>
        <w:t xml:space="preserve"> участок </w:t>
      </w:r>
      <w:r>
        <w:rPr>
          <w:sz w:val="24"/>
          <w:szCs w:val="24"/>
        </w:rPr>
        <w:t xml:space="preserve">ЮРЭС (адм. здание и гараж)</w:t>
      </w:r>
      <w:r>
        <w:rPr>
          <w:sz w:val="24"/>
          <w:szCs w:val="24"/>
        </w:rPr>
        <w:t xml:space="preserve"> с. Балгазын, ул. </w:t>
      </w:r>
      <w:r>
        <w:rPr>
          <w:sz w:val="24"/>
          <w:szCs w:val="24"/>
        </w:rPr>
        <w:t xml:space="preserve">Советская;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8"/>
        <w:ind w:left="0" w:firstLine="709"/>
        <w:jc w:val="both"/>
        <w:tabs>
          <w:tab w:val="num" w:pos="0" w:leader="none"/>
          <w:tab w:val="right" w:pos="9639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Эрзинский</w:t>
      </w:r>
      <w:r>
        <w:rPr>
          <w:sz w:val="24"/>
          <w:szCs w:val="24"/>
        </w:rPr>
        <w:t xml:space="preserve"> участок ЮРЭС</w:t>
      </w:r>
      <w:r>
        <w:rPr>
          <w:sz w:val="24"/>
          <w:szCs w:val="24"/>
        </w:rPr>
        <w:t xml:space="preserve"> (адм. здание и гараж)</w:t>
      </w:r>
      <w:r>
        <w:rPr>
          <w:sz w:val="24"/>
          <w:szCs w:val="24"/>
        </w:rPr>
        <w:t xml:space="preserve"> с. Эрзин, ул. Комсомольская, д. 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8"/>
        <w:ind w:left="0" w:firstLine="709"/>
        <w:jc w:val="both"/>
        <w:tabs>
          <w:tab w:val="num" w:pos="0" w:leader="none"/>
          <w:tab w:val="right" w:pos="9639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Сарыг-Сепский</w:t>
      </w:r>
      <w:r>
        <w:rPr>
          <w:sz w:val="24"/>
          <w:szCs w:val="24"/>
        </w:rPr>
        <w:t xml:space="preserve"> участок ВРЭС (адм. </w:t>
      </w:r>
      <w:r>
        <w:rPr>
          <w:sz w:val="24"/>
          <w:szCs w:val="24"/>
        </w:rPr>
        <w:t xml:space="preserve">здание</w:t>
      </w:r>
      <w:r>
        <w:rPr>
          <w:sz w:val="24"/>
          <w:szCs w:val="24"/>
        </w:rPr>
        <w:t xml:space="preserve"> и гараж</w:t>
      </w:r>
      <w:r>
        <w:rPr>
          <w:sz w:val="24"/>
          <w:szCs w:val="24"/>
        </w:rPr>
        <w:t xml:space="preserve">) с. Сарыг-Сеп, ул. Мира, д. 6;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8"/>
        <w:ind w:left="0" w:firstLine="709"/>
        <w:jc w:val="both"/>
        <w:tabs>
          <w:tab w:val="num" w:pos="0" w:leader="none"/>
          <w:tab w:val="right" w:pos="9639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- Бурен-Бай-</w:t>
      </w:r>
      <w:r>
        <w:rPr>
          <w:sz w:val="24"/>
          <w:szCs w:val="24"/>
        </w:rPr>
        <w:t xml:space="preserve">Хаакский</w:t>
      </w:r>
      <w:r>
        <w:rPr>
          <w:sz w:val="24"/>
          <w:szCs w:val="24"/>
        </w:rPr>
        <w:t xml:space="preserve"> участок ВРЭС (адм. здание</w:t>
      </w:r>
      <w:r>
        <w:rPr>
          <w:sz w:val="24"/>
          <w:szCs w:val="24"/>
        </w:rPr>
        <w:t xml:space="preserve"> и гараж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с. Бурен-Бай-Хаак, пер. Центральный, д. 18;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8"/>
        <w:ind w:left="0" w:firstLine="709"/>
        <w:jc w:val="both"/>
        <w:tabs>
          <w:tab w:val="num" w:pos="0" w:leader="none"/>
          <w:tab w:val="right" w:pos="9639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- Зубовский участок ВРЭС (адм. здание и гараж)</w:t>
      </w:r>
      <w:r>
        <w:rPr>
          <w:sz w:val="24"/>
          <w:szCs w:val="24"/>
        </w:rPr>
        <w:t xml:space="preserve"> с. Бурен-</w:t>
      </w:r>
      <w:r>
        <w:rPr>
          <w:sz w:val="24"/>
          <w:szCs w:val="24"/>
        </w:rPr>
        <w:t xml:space="preserve">Хем</w:t>
      </w:r>
      <w:r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Зубовка</w:t>
      </w:r>
      <w:r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ул. Енисейская, д. 66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8"/>
        <w:ind w:left="0" w:firstLine="709"/>
        <w:jc w:val="both"/>
        <w:tabs>
          <w:tab w:val="num" w:pos="0" w:leader="none"/>
          <w:tab w:val="right" w:pos="9639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- г. Кызыл, ул. Колхозная,</w:t>
      </w:r>
      <w:r>
        <w:rPr>
          <w:sz w:val="24"/>
          <w:szCs w:val="24"/>
        </w:rPr>
        <w:t xml:space="preserve"> д. 2</w:t>
      </w:r>
      <w:r>
        <w:rPr>
          <w:sz w:val="24"/>
          <w:szCs w:val="24"/>
        </w:rPr>
        <w:t xml:space="preserve"> (адм. здания</w:t>
      </w:r>
      <w:r>
        <w:rPr>
          <w:sz w:val="24"/>
          <w:szCs w:val="24"/>
        </w:rPr>
        <w:t xml:space="preserve">, гараж и центральный склад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8"/>
        <w:ind w:left="0" w:firstLine="709"/>
        <w:jc w:val="both"/>
        <w:tabs>
          <w:tab w:val="num" w:pos="0" w:leader="none"/>
          <w:tab w:val="right" w:pos="9639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- г. Кызыл, ул. Рабочая, </w:t>
      </w:r>
      <w:r>
        <w:rPr>
          <w:sz w:val="24"/>
          <w:szCs w:val="24"/>
        </w:rPr>
        <w:t xml:space="preserve">д. 4.</w:t>
      </w:r>
      <w:r>
        <w:rPr>
          <w:sz w:val="24"/>
          <w:szCs w:val="24"/>
        </w:rPr>
        <w:t xml:space="preserve"> (адм. здание и гараж)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8"/>
        <w:ind w:left="0" w:firstLine="709"/>
        <w:jc w:val="both"/>
        <w:tabs>
          <w:tab w:val="num" w:pos="0" w:leader="none"/>
          <w:tab w:val="right" w:pos="9639" w:leader="underscor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8"/>
        <w:ind w:left="0"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 Общие требования к выполнению работ, их качеству, в том числе к технологии производства работ, методам производства работ, организационно-технологической схеме производства работ, безопасности работ: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8"/>
        <w:ind w:left="0" w:firstLine="709"/>
        <w:jc w:val="both"/>
        <w:tabs>
          <w:tab w:val="left" w:pos="142" w:leader="none"/>
          <w:tab w:val="left" w:pos="851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 Работы </w:t>
      </w:r>
      <w:r>
        <w:rPr>
          <w:bCs/>
          <w:sz w:val="24"/>
          <w:szCs w:val="24"/>
        </w:rPr>
        <w:t xml:space="preserve">должны быть выполнены в уста</w:t>
      </w:r>
      <w:r>
        <w:rPr>
          <w:bCs/>
          <w:sz w:val="24"/>
          <w:szCs w:val="24"/>
        </w:rPr>
        <w:t xml:space="preserve">новленные сроки в соответствии с</w:t>
      </w:r>
      <w:r>
        <w:rPr>
          <w:bCs/>
          <w:sz w:val="24"/>
          <w:szCs w:val="24"/>
        </w:rPr>
        <w:t xml:space="preserve"> техническ</w:t>
      </w:r>
      <w:r>
        <w:rPr>
          <w:bCs/>
          <w:sz w:val="24"/>
          <w:szCs w:val="24"/>
        </w:rPr>
        <w:t xml:space="preserve">им заданием, условиями договора</w:t>
      </w:r>
      <w:r>
        <w:rPr>
          <w:bCs/>
          <w:sz w:val="24"/>
          <w:szCs w:val="24"/>
        </w:rPr>
        <w:t xml:space="preserve">. Работы </w:t>
      </w:r>
      <w:r>
        <w:rPr>
          <w:bCs/>
          <w:sz w:val="24"/>
          <w:szCs w:val="24"/>
        </w:rPr>
        <w:t xml:space="preserve">должны производиться в соответствии со следующими нормативными документами: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8"/>
        <w:numPr>
          <w:ilvl w:val="0"/>
          <w:numId w:val="1"/>
        </w:numPr>
        <w:contextualSpacing w:val="0"/>
        <w:ind w:left="0" w:firstLine="709"/>
        <w:jc w:val="both"/>
        <w:tabs>
          <w:tab w:val="left" w:pos="567" w:leader="none"/>
          <w:tab w:val="left" w:pos="851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Федер</w:t>
      </w:r>
      <w:r>
        <w:rPr>
          <w:sz w:val="24"/>
          <w:szCs w:val="24"/>
        </w:rPr>
        <w:t xml:space="preserve">альный закон РФ от 22.07.2008 №</w:t>
      </w:r>
      <w:r>
        <w:rPr>
          <w:sz w:val="24"/>
          <w:szCs w:val="24"/>
        </w:rPr>
        <w:t xml:space="preserve">123-ФЗ «Технический регламент о   </w:t>
      </w:r>
      <w:r>
        <w:rPr>
          <w:sz w:val="24"/>
          <w:szCs w:val="24"/>
        </w:rPr>
        <w:tab/>
        <w:t xml:space="preserve">требованиях пожарной безопасности»;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709"/>
        <w:spacing w:after="0"/>
        <w:tabs>
          <w:tab w:val="left" w:pos="567" w:leader="none"/>
          <w:tab w:val="num" w:pos="600" w:leader="none"/>
          <w:tab w:val="left" w:pos="851" w:leader="none"/>
          <w:tab w:val="left" w:pos="993" w:leader="none"/>
        </w:tabs>
      </w:pPr>
      <w:r>
        <w:t xml:space="preserve">Федеральный закон РФ от 4 мая </w:t>
      </w:r>
      <w:r>
        <w:t xml:space="preserve">2011 г</w:t>
      </w:r>
      <w:r>
        <w:t xml:space="preserve">. №</w:t>
      </w:r>
      <w:r>
        <w:t xml:space="preserve">99-ФЗ «</w:t>
      </w:r>
      <w:r>
        <w:t xml:space="preserve">О лицензирован</w:t>
      </w:r>
      <w:r>
        <w:t xml:space="preserve">ии отдельных видов деятельности»</w:t>
      </w:r>
      <w:r>
        <w:t xml:space="preserve">;</w:t>
      </w:r>
      <w:r/>
    </w:p>
    <w:p>
      <w:pPr>
        <w:numPr>
          <w:ilvl w:val="0"/>
          <w:numId w:val="1"/>
        </w:numPr>
        <w:ind w:left="0" w:firstLine="709"/>
        <w:spacing w:after="0"/>
        <w:tabs>
          <w:tab w:val="left" w:pos="567" w:leader="none"/>
          <w:tab w:val="left" w:pos="851" w:leader="none"/>
          <w:tab w:val="left" w:pos="993" w:leader="none"/>
        </w:tabs>
      </w:pPr>
      <w:r>
        <w:t xml:space="preserve">Постановление Правительства РФ от 28.07.2020 №1128 «Об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сооружений»</w:t>
      </w:r>
      <w:r>
        <w:t xml:space="preserve">;</w:t>
      </w:r>
      <w:r/>
    </w:p>
    <w:p>
      <w:pPr>
        <w:numPr>
          <w:ilvl w:val="0"/>
          <w:numId w:val="1"/>
        </w:numPr>
        <w:ind w:left="0" w:firstLine="709"/>
        <w:spacing w:after="0"/>
        <w:tabs>
          <w:tab w:val="left" w:pos="567" w:leader="none"/>
          <w:tab w:val="num" w:pos="600" w:leader="none"/>
          <w:tab w:val="left" w:pos="851" w:leader="none"/>
          <w:tab w:val="left" w:pos="993" w:leader="none"/>
        </w:tabs>
      </w:pPr>
      <w:r>
        <w:rPr>
          <w:rStyle w:val="901"/>
        </w:rPr>
        <w:t xml:space="preserve">Федеральный закон от 21.12.1994г. №69 «О пожарной безопасности».</w:t>
      </w:r>
      <w:r>
        <w:rPr>
          <w:rStyle w:val="901"/>
        </w:rPr>
        <w:tab/>
      </w:r>
      <w:r>
        <w:rPr>
          <w:rStyle w:val="901"/>
        </w:rPr>
        <w:tab/>
      </w:r>
      <w:r/>
    </w:p>
    <w:p>
      <w:pPr>
        <w:numPr>
          <w:ilvl w:val="0"/>
          <w:numId w:val="1"/>
        </w:numPr>
        <w:ind w:left="0" w:firstLine="709"/>
        <w:spacing w:after="0"/>
        <w:tabs>
          <w:tab w:val="left" w:pos="567" w:leader="none"/>
          <w:tab w:val="num" w:pos="600" w:leader="none"/>
          <w:tab w:val="left" w:pos="851" w:leader="none"/>
          <w:tab w:val="left" w:pos="993" w:leader="none"/>
        </w:tabs>
      </w:pPr>
      <w:r>
        <w:t xml:space="preserve">Федеральный закон от 30.12.2009 №384 «Технический регламент о бе</w:t>
      </w:r>
      <w:r>
        <w:t xml:space="preserve">зопасности зданий и сооружений»</w:t>
      </w:r>
      <w:r>
        <w:t xml:space="preserve">;</w:t>
      </w:r>
      <w:r/>
    </w:p>
    <w:p>
      <w:pPr>
        <w:numPr>
          <w:ilvl w:val="0"/>
          <w:numId w:val="1"/>
        </w:numPr>
        <w:ind w:left="0" w:firstLine="709"/>
        <w:spacing w:after="0"/>
        <w:tabs>
          <w:tab w:val="left" w:pos="567" w:leader="none"/>
          <w:tab w:val="num" w:pos="600" w:leader="none"/>
          <w:tab w:val="left" w:pos="851" w:leader="none"/>
          <w:tab w:val="left" w:pos="993" w:leader="none"/>
        </w:tabs>
      </w:pPr>
      <w:r>
        <w:t xml:space="preserve">Справочная информация «Нормы и пра</w:t>
      </w:r>
      <w:r>
        <w:t xml:space="preserve">в</w:t>
      </w:r>
      <w:r>
        <w:t xml:space="preserve">ила</w:t>
      </w:r>
      <w:r>
        <w:t xml:space="preserve"> пожарной безопасности»</w:t>
      </w:r>
      <w:r>
        <w:t xml:space="preserve">; </w:t>
      </w:r>
      <w:r/>
      <w:r/>
      <w:r/>
      <w:r/>
    </w:p>
    <w:p>
      <w:pPr>
        <w:numPr>
          <w:ilvl w:val="0"/>
          <w:numId w:val="1"/>
        </w:numPr>
        <w:ind w:left="0" w:firstLine="709"/>
        <w:spacing w:after="0"/>
        <w:tabs>
          <w:tab w:val="left" w:pos="567" w:leader="none"/>
          <w:tab w:val="num" w:pos="600" w:leader="none"/>
          <w:tab w:val="left" w:pos="851" w:leader="none"/>
          <w:tab w:val="left" w:pos="993" w:leader="none"/>
        </w:tabs>
      </w:pPr>
      <w:r>
        <w:rPr>
          <w:bCs/>
        </w:rPr>
        <w:t xml:space="preserve">Политика в области пожарной безопасности. Положение</w:t>
      </w:r>
      <w:r>
        <w:t xml:space="preserve">;</w:t>
      </w:r>
      <w:r/>
    </w:p>
    <w:p>
      <w:pPr>
        <w:numPr>
          <w:ilvl w:val="0"/>
          <w:numId w:val="1"/>
        </w:numPr>
        <w:ind w:left="0" w:firstLine="709"/>
        <w:spacing w:after="0"/>
        <w:tabs>
          <w:tab w:val="left" w:pos="567" w:leader="none"/>
          <w:tab w:val="left" w:pos="851" w:leader="none"/>
          <w:tab w:val="left" w:pos="993" w:leader="none"/>
          <w:tab w:val="left" w:pos="1134" w:leader="none"/>
        </w:tabs>
      </w:pPr>
      <w:r>
        <w:t xml:space="preserve">П</w:t>
      </w:r>
      <w:r>
        <w:t xml:space="preserve">риказ МЧС России от 31.08.2020 № 628 «Об утверждении свода правил «</w:t>
      </w:r>
      <w:r>
        <w:t xml:space="preserve">Системы противопожарной защиты. Установки пожаротушения автоматические.</w:t>
      </w:r>
      <w:r>
        <w:t xml:space="preserve"> Нормы и правила проектирования» (вместе с «</w:t>
      </w:r>
      <w:r>
        <w:t xml:space="preserve">СП 485.1311500.2020. Свод правил. Системы противопожарной защиты. Установки пожаротушения автоматические.</w:t>
      </w:r>
      <w:r>
        <w:t xml:space="preserve"> Нормы и правила проектирования»</w:t>
      </w:r>
      <w:r>
        <w:t xml:space="preserve">) </w:t>
      </w:r>
      <w:r/>
    </w:p>
    <w:p>
      <w:pPr>
        <w:numPr>
          <w:ilvl w:val="0"/>
          <w:numId w:val="1"/>
        </w:numPr>
        <w:ind w:left="0" w:firstLine="709"/>
        <w:spacing w:after="0"/>
        <w:tabs>
          <w:tab w:val="left" w:pos="567" w:leader="none"/>
          <w:tab w:val="left" w:pos="851" w:leader="none"/>
          <w:tab w:val="left" w:pos="993" w:leader="none"/>
          <w:tab w:val="left" w:pos="1134" w:leader="none"/>
        </w:tabs>
      </w:pPr>
      <w:r>
        <w:t xml:space="preserve">Приказ Минэнерго России от 12.08.2022 № 811 «Об утверждении Правил технической эксплуатации электроустановок пот</w:t>
      </w:r>
      <w:r>
        <w:t xml:space="preserve">ребителей электрической энергии».</w:t>
      </w:r>
      <w:r/>
    </w:p>
    <w:p>
      <w:pPr>
        <w:numPr>
          <w:ilvl w:val="0"/>
          <w:numId w:val="1"/>
        </w:numPr>
        <w:ind w:left="0" w:firstLine="709"/>
        <w:spacing w:after="0"/>
        <w:tabs>
          <w:tab w:val="left" w:pos="567" w:leader="none"/>
          <w:tab w:val="left" w:pos="851" w:leader="none"/>
          <w:tab w:val="left" w:pos="993" w:leader="none"/>
          <w:tab w:val="left" w:pos="1134" w:leader="none"/>
        </w:tabs>
      </w:pPr>
      <w:r>
        <w:t xml:space="preserve">Постановление Госстроя России от 17.09.2002 № 123 «О принятии строительных норм</w:t>
      </w:r>
      <w:r>
        <w:t xml:space="preserve"> и правил Российской Федерации «</w:t>
      </w:r>
      <w:r>
        <w:t xml:space="preserve">Безопасность труда в строительстве. Часть 2. Строительное производство. СНиП 12-04-2002»</w:t>
      </w:r>
      <w:r>
        <w:t xml:space="preserve">;</w:t>
      </w:r>
      <w:r/>
    </w:p>
    <w:p>
      <w:pPr>
        <w:numPr>
          <w:ilvl w:val="0"/>
          <w:numId w:val="1"/>
        </w:numPr>
        <w:ind w:left="0" w:firstLine="709"/>
        <w:spacing w:after="0"/>
        <w:tabs>
          <w:tab w:val="left" w:pos="426" w:leader="none"/>
          <w:tab w:val="left" w:pos="567" w:leader="none"/>
          <w:tab w:val="num" w:pos="600" w:leader="none"/>
          <w:tab w:val="left" w:pos="851" w:leader="none"/>
          <w:tab w:val="left" w:pos="993" w:leader="none"/>
        </w:tabs>
      </w:pPr>
      <w:r>
        <w:t xml:space="preserve">ГОСТ 12.2.013-91 (МЭК 745-1-82) Система стандартов безопасности труда. Машины ручные электрические. Общие требования безопасности и методы испытаний.</w:t>
      </w:r>
      <w:r/>
    </w:p>
    <w:p>
      <w:pPr>
        <w:ind w:firstLine="709"/>
        <w:spacing w:after="0"/>
        <w:tabs>
          <w:tab w:val="left" w:pos="0" w:leader="none"/>
          <w:tab w:val="left" w:pos="1418" w:leader="none"/>
        </w:tabs>
      </w:pPr>
      <w:r>
        <w:rPr>
          <w:bCs/>
        </w:rPr>
        <w:t xml:space="preserve">Перед началом работ Подрядчик предъявляет Заказчику сертификаты, паспорта качества, удостоверяющие качество приобретенных материалов, изделий, оборудования.</w:t>
      </w:r>
      <w:r/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Перед началом работ Подрядчик предъявляет Заказчику сертификаты, паспорта качества, удостоверяющие качество приобретенных материалов, изделий, оборудования.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</w:r>
      <w:r>
        <w:rPr>
          <w:rFonts w:ascii="Times New Roman" w:hAnsi="Times New Roman" w:cs="Times New Roman"/>
          <w:bCs/>
          <w:sz w:val="24"/>
          <w:szCs w:val="24"/>
          <w:lang w:val="tt-RU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Отключения и подключения инженерных систем, сетей или отдельных их участков производится только по предварительному письменному согласованию с Заказчиком.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 производстве работ сохраняются беспрепятственны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е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потоки посетителей и персонала.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 выполнении монтажных работ Подрядчик ведет нормативную производственную документацию (в том числе журнал производства работ).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Подрядчик располагает всем необходимым технологическим оборудованием, оснасткой и инвентарем, требующимся для выполнения работ.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Место склади</w:t>
      </w:r>
      <w:r>
        <w:rPr>
          <w:rFonts w:ascii="Times New Roman" w:hAnsi="Times New Roman" w:cs="Times New Roman"/>
          <w:bCs/>
          <w:sz w:val="24"/>
          <w:szCs w:val="24"/>
        </w:rPr>
        <w:t xml:space="preserve">рования материала, Подрядчик согласовывает с Заказчиком. Заказчик не несет ответственности за их сохранность. Подрядчик за свой счет и риск обеспечивает надлежащее хранение материалов, инструментов и другого имущества, находящегося на территории Заказчика.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В</w:t>
      </w:r>
      <w:r>
        <w:rPr>
          <w:rFonts w:ascii="Times New Roman" w:hAnsi="Times New Roman" w:cs="Times New Roman"/>
          <w:bCs/>
          <w:sz w:val="24"/>
          <w:szCs w:val="24"/>
        </w:rPr>
        <w:t xml:space="preserve">о время производства работ обеспечивается беспрепятственный доступ представителей Заказчика к любому участку работ, представляются по их требованию отчеты о ходе выполнения работ, исполнительная документация.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Уборка, вынос и вывоз мусора производ</w:t>
      </w:r>
      <w:r>
        <w:rPr>
          <w:rFonts w:ascii="Times New Roman" w:hAnsi="Times New Roman" w:cs="Times New Roman"/>
          <w:bCs/>
          <w:sz w:val="24"/>
          <w:szCs w:val="24"/>
        </w:rPr>
        <w:t xml:space="preserve">ится силами Подрядчика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. Подрядчик немедленно письменно предупреждает Заказчика при обнаружении не зависящих от него обстоятельств, которые могут привести к аварийной ситуации при выполнении работ, либо создают невозможность их завершения в срок.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Подрядчик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выполняет полученные в ходе выполнения работ указания Заказчика, которые заносятся в соо</w:t>
      </w:r>
      <w:r>
        <w:rPr>
          <w:rFonts w:ascii="Times New Roman" w:hAnsi="Times New Roman" w:cs="Times New Roman"/>
          <w:bCs/>
          <w:sz w:val="24"/>
          <w:szCs w:val="24"/>
        </w:rPr>
        <w:t xml:space="preserve">тветствующие журналы, а также в </w:t>
      </w:r>
      <w:r>
        <w:rPr>
          <w:rFonts w:ascii="Times New Roman" w:hAnsi="Times New Roman" w:cs="Times New Roman"/>
          <w:bCs/>
          <w:sz w:val="24"/>
          <w:szCs w:val="24"/>
        </w:rPr>
        <w:t xml:space="preserve">срок</w:t>
      </w:r>
      <w:r>
        <w:rPr>
          <w:rFonts w:ascii="Times New Roman" w:hAnsi="Times New Roman" w:cs="Times New Roman"/>
          <w:bCs/>
          <w:sz w:val="24"/>
          <w:szCs w:val="24"/>
        </w:rPr>
        <w:t xml:space="preserve">,</w:t>
      </w:r>
      <w:r>
        <w:rPr>
          <w:rFonts w:ascii="Times New Roman" w:hAnsi="Times New Roman" w:cs="Times New Roman"/>
          <w:bCs/>
          <w:sz w:val="24"/>
          <w:szCs w:val="24"/>
        </w:rPr>
        <w:t xml:space="preserve"> установленный предписанием Заказчика устраняет обнаруженные им недостатки в выполненной работе или отступления от условий </w:t>
      </w:r>
      <w:r>
        <w:rPr>
          <w:rFonts w:ascii="Times New Roman" w:hAnsi="Times New Roman" w:cs="Times New Roman"/>
          <w:bCs/>
          <w:sz w:val="24"/>
          <w:szCs w:val="24"/>
        </w:rPr>
        <w:t xml:space="preserve">договора</w:t>
      </w:r>
      <w:r>
        <w:rPr>
          <w:rFonts w:ascii="Times New Roman" w:hAnsi="Times New Roman" w:cs="Times New Roman"/>
          <w:bCs/>
          <w:sz w:val="24"/>
          <w:szCs w:val="24"/>
        </w:rPr>
        <w:t xml:space="preserve">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spacing w:after="0"/>
        <w:rPr>
          <w:bCs/>
          <w:lang w:val="tt-RU"/>
        </w:rPr>
      </w:pPr>
      <w:r>
        <w:rPr>
          <w:bCs/>
        </w:rPr>
        <w:t xml:space="preserve">Все работы</w:t>
      </w:r>
      <w:r>
        <w:rPr>
          <w:bCs/>
          <w:lang w:val="tt-RU"/>
        </w:rPr>
        <w:t xml:space="preserve"> по монтажу систем пожарной и охранной сигнализации</w:t>
      </w:r>
      <w:r>
        <w:rPr>
          <w:bCs/>
        </w:rPr>
        <w:t xml:space="preserve"> должны выполняться в соответствии с требованиями действующих нормативных актов</w:t>
      </w:r>
      <w:r>
        <w:t xml:space="preserve"> </w:t>
      </w:r>
      <w:r>
        <w:rPr>
          <w:lang w:val="tt-RU"/>
        </w:rPr>
        <w:t xml:space="preserve">и </w:t>
      </w:r>
      <w:r>
        <w:t xml:space="preserve">должны </w:t>
      </w:r>
      <w:r>
        <w:t xml:space="preserve">быть выполнены на современном техническом уровне, с соблюдением норм действующих стандартов и правил.</w:t>
      </w:r>
      <w:r>
        <w:rPr>
          <w:bCs/>
        </w:rPr>
        <w:t xml:space="preserve"> Выполняемые работы должны </w:t>
      </w:r>
      <w:r>
        <w:rPr>
          <w:bCs/>
          <w:lang w:val="tt-RU"/>
        </w:rPr>
        <w:t xml:space="preserve">выполняться в условиях действующего учреждения с обязательным обеспечением технического надзора за работами, с соблюдением техники безопасности и противопожарных мероприятий.</w:t>
      </w:r>
      <w:r>
        <w:rPr>
          <w:bCs/>
          <w:lang w:val="tt-RU"/>
        </w:rPr>
      </w:r>
      <w:r>
        <w:rPr>
          <w:bCs/>
          <w:lang w:val="tt-RU"/>
        </w:rPr>
      </w:r>
    </w:p>
    <w:p>
      <w:pPr>
        <w:ind w:firstLine="709"/>
        <w:spacing w:after="0"/>
        <w:tabs>
          <w:tab w:val="left" w:pos="0" w:leader="none"/>
        </w:tabs>
      </w:pPr>
      <w:r>
        <w:t xml:space="preserve">При работе с ручными электроинструментами необходимо соблюдать требования ГОСТ 12.2.013-91 (МЭК 745-1-82) «Системы стандартов безопасности труда. Машины ручные э</w:t>
      </w:r>
      <w:r>
        <w:t xml:space="preserve">лектрические. Общие требования </w:t>
      </w:r>
      <w:r>
        <w:t xml:space="preserve">безопасности и методы испытания» и ТИ Р М-073-2002 Типовая инструкция по охране труда при работе с ручным электроинструментом</w:t>
      </w:r>
      <w:r>
        <w:t xml:space="preserve">.</w:t>
      </w:r>
      <w:r/>
    </w:p>
    <w:p>
      <w:pPr>
        <w:ind w:firstLine="709"/>
        <w:spacing w:after="0"/>
        <w:tabs>
          <w:tab w:val="left" w:pos="0" w:leader="none"/>
        </w:tabs>
      </w:pPr>
      <w:r>
        <w:t xml:space="preserve">При проведении работ повышенной опасности следует руководствоваться Положением об организации работ повышенной опасности, а также пользоваться проверенным, исправным инструментом, приспособлениями и испытанными средствами защиты.</w:t>
      </w:r>
      <w:r/>
    </w:p>
    <w:p>
      <w:pPr>
        <w:pStyle w:val="891"/>
        <w:ind w:firstLine="709"/>
        <w:spacing w:after="0"/>
        <w:tabs>
          <w:tab w:val="left" w:pos="0" w:leader="none"/>
          <w:tab w:val="num" w:pos="480" w:leader="none"/>
          <w:tab w:val="num" w:pos="840" w:leader="none"/>
        </w:tabs>
        <w:rPr>
          <w:szCs w:val="24"/>
        </w:rPr>
      </w:pPr>
      <w:r>
        <w:rPr>
          <w:szCs w:val="24"/>
        </w:rPr>
        <w:t xml:space="preserve">Дополнительные требования к монтажу: при прокладке кабеля методом по струне или </w:t>
      </w:r>
      <w:r>
        <w:rPr>
          <w:szCs w:val="24"/>
        </w:rPr>
        <w:t xml:space="preserve">на тросу</w:t>
      </w:r>
      <w:r>
        <w:rPr>
          <w:szCs w:val="24"/>
        </w:rPr>
        <w:t xml:space="preserve">, при отсутствии устройств </w:t>
      </w:r>
      <w:r>
        <w:rPr>
          <w:szCs w:val="24"/>
        </w:rPr>
        <w:t xml:space="preserve">тяжения</w:t>
      </w:r>
      <w:r>
        <w:rPr>
          <w:szCs w:val="24"/>
        </w:rPr>
        <w:t xml:space="preserve"> на концах троса, сл</w:t>
      </w:r>
      <w:r>
        <w:rPr>
          <w:szCs w:val="24"/>
        </w:rPr>
        <w:t xml:space="preserve">едует крепить трос к основанию </w:t>
      </w:r>
      <w:r>
        <w:rPr>
          <w:szCs w:val="24"/>
        </w:rPr>
        <w:t xml:space="preserve">не более чем через 1,5</w:t>
      </w:r>
      <w:r>
        <w:rPr>
          <w:szCs w:val="24"/>
        </w:rPr>
        <w:t xml:space="preserve"> </w:t>
      </w:r>
      <w:r>
        <w:rPr>
          <w:szCs w:val="24"/>
        </w:rPr>
        <w:t xml:space="preserve">метра между креплениями.</w:t>
      </w:r>
      <w:r>
        <w:rPr>
          <w:szCs w:val="24"/>
        </w:rPr>
      </w:r>
      <w:r>
        <w:rPr>
          <w:szCs w:val="24"/>
        </w:rPr>
      </w:r>
    </w:p>
    <w:p>
      <w:pPr>
        <w:ind w:firstLine="709"/>
        <w:spacing w:after="0"/>
        <w:tabs>
          <w:tab w:val="left" w:pos="851" w:leader="none"/>
        </w:tabs>
      </w:pPr>
      <w:r>
        <w:t xml:space="preserve">Работы по контракту должны осуществляться Подрядчиком на основани</w:t>
      </w:r>
      <w:r>
        <w:t xml:space="preserve">и действующей лицензии на производство работ по монтажу, ремонту и обслуживанию средств обеспечения пожарной безопасности зданий и сооружений, выданной Министерством РФ по делам гражданской обороны, чрезвычайным ситуациям и ликвидации последствий стихийных</w:t>
      </w:r>
      <w:r>
        <w:t xml:space="preserve"> бедствий. Требование установлено подпунктом 15 части 1 статьи 12 Федерального закона от 04.05.2011 г. № 99-ФЗ «О лицензировании отдельных видов деятельности». При этом срок действия лицензии не должен оканчиваться до исполнения обязательств по контракту. </w:t>
      </w:r>
      <w:r/>
    </w:p>
    <w:p>
      <w:pPr>
        <w:ind w:firstLine="709"/>
        <w:spacing w:after="0"/>
        <w:tabs>
          <w:tab w:val="left" w:pos="709" w:leader="none"/>
          <w:tab w:val="left" w:pos="851" w:leader="none"/>
        </w:tabs>
      </w:pPr>
      <w:r>
        <w:rPr>
          <w:bCs/>
        </w:rPr>
        <w:tab/>
        <w:t xml:space="preserve">Качество всех используемых материалов, изделий, конструкций должно подтверждаться соответствующими</w:t>
      </w:r>
      <w:r>
        <w:rPr>
          <w:bCs/>
        </w:rPr>
        <w:t xml:space="preserve"> паспортами и сертификатами. В ходе выполнения работ подрядчик обязан обеспечить соблюдение порядка на территории выполнения работ, установленных правил пожарной безопасности, электробезопасности, а также правил техники безопасности при производстве работ.</w:t>
      </w:r>
      <w:r>
        <w:rPr>
          <w:bCs/>
        </w:rPr>
        <w:tab/>
      </w:r>
      <w:r/>
    </w:p>
    <w:p>
      <w:pPr>
        <w:ind w:firstLine="709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98"/>
        <w:numPr>
          <w:ilvl w:val="0"/>
          <w:numId w:val="7"/>
        </w:numPr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Требования к </w:t>
      </w:r>
      <w:r>
        <w:rPr>
          <w:b/>
          <w:bCs/>
          <w:sz w:val="24"/>
          <w:szCs w:val="24"/>
        </w:rPr>
        <w:t xml:space="preserve">участнику.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8"/>
        </w:numPr>
        <w:ind w:left="0" w:firstLine="709"/>
        <w:spacing w:after="0"/>
        <w:tabs>
          <w:tab w:val="num" w:pos="0" w:leader="none"/>
        </w:tabs>
        <w:rPr>
          <w:u w:val="single"/>
        </w:rPr>
      </w:pPr>
      <w:r>
        <w:rPr>
          <w:b/>
          <w:u w:val="single"/>
        </w:rPr>
        <w:t xml:space="preserve">Подрядчик</w:t>
      </w:r>
      <w:r>
        <w:rPr>
          <w:b/>
          <w:u w:val="single"/>
        </w:rPr>
        <w:t xml:space="preserve"> обязан:</w:t>
      </w:r>
      <w:r>
        <w:rPr>
          <w:u w:val="single"/>
        </w:rPr>
      </w:r>
      <w:r>
        <w:rPr>
          <w:u w:val="single"/>
        </w:rPr>
      </w:r>
    </w:p>
    <w:p>
      <w:pPr>
        <w:pStyle w:val="904"/>
        <w:ind w:firstLine="709"/>
        <w:spacing w:after="0" w:line="240" w:lineRule="auto"/>
        <w:tabs>
          <w:tab w:val="num" w:pos="0" w:leader="none"/>
        </w:tabs>
        <w:rPr>
          <w:highlight w:val="white"/>
        </w:rPr>
      </w:pPr>
      <w:r>
        <w:t xml:space="preserve">4.1.1. Проводить качественное техническое обслуживание. В </w:t>
      </w:r>
      <w:r>
        <w:rPr>
          <w:highlight w:val="white"/>
        </w:rPr>
        <w:t xml:space="preserve">еж</w:t>
      </w:r>
      <w:r>
        <w:rPr>
          <w:highlight w:val="white"/>
        </w:rPr>
        <w:t xml:space="preserve">еквартальное</w:t>
      </w:r>
      <w:r>
        <w:rPr>
          <w:highlight w:val="white"/>
        </w:rPr>
        <w:t xml:space="preserve"> техническое обслуживание входит:</w:t>
      </w:r>
      <w:r>
        <w:rPr>
          <w:highlight w:val="white"/>
        </w:rPr>
      </w:r>
      <w:r>
        <w:rPr>
          <w:highlight w:val="white"/>
        </w:rPr>
      </w:r>
    </w:p>
    <w:p>
      <w:pPr>
        <w:pStyle w:val="904"/>
        <w:numPr>
          <w:ilvl w:val="0"/>
          <w:numId w:val="10"/>
        </w:numPr>
        <w:ind w:left="0" w:firstLine="709"/>
        <w:spacing w:after="0" w:line="240" w:lineRule="auto"/>
        <w:tabs>
          <w:tab w:val="num" w:pos="0" w:leader="none"/>
        </w:tabs>
        <w:rPr>
          <w:highlight w:val="white"/>
        </w:rPr>
      </w:pPr>
      <w:r>
        <w:rPr>
          <w:highlight w:val="white"/>
        </w:rPr>
        <w:t xml:space="preserve">Проверка работоспособности и наладка оборудования.</w:t>
      </w:r>
      <w:r>
        <w:rPr>
          <w:highlight w:val="white"/>
        </w:rPr>
      </w:r>
      <w:r>
        <w:rPr>
          <w:highlight w:val="white"/>
        </w:rPr>
      </w:r>
    </w:p>
    <w:p>
      <w:pPr>
        <w:pStyle w:val="904"/>
        <w:numPr>
          <w:ilvl w:val="0"/>
          <w:numId w:val="10"/>
        </w:numPr>
        <w:ind w:left="0" w:firstLine="709"/>
        <w:spacing w:after="0" w:line="240" w:lineRule="auto"/>
      </w:pPr>
      <w:r>
        <w:t xml:space="preserve">Проверка и регулировка блоков питания.</w:t>
      </w:r>
      <w:r/>
    </w:p>
    <w:p>
      <w:pPr>
        <w:pStyle w:val="904"/>
        <w:numPr>
          <w:ilvl w:val="0"/>
          <w:numId w:val="10"/>
        </w:numPr>
        <w:ind w:left="0" w:firstLine="709"/>
        <w:spacing w:after="0" w:line="240" w:lineRule="auto"/>
      </w:pPr>
      <w:r>
        <w:t xml:space="preserve">Контрольные измерения питающих напряжений.</w:t>
      </w:r>
      <w:r/>
    </w:p>
    <w:p>
      <w:pPr>
        <w:pStyle w:val="904"/>
        <w:numPr>
          <w:ilvl w:val="0"/>
          <w:numId w:val="10"/>
        </w:numPr>
        <w:ind w:left="0" w:firstLine="709"/>
        <w:spacing w:after="0" w:line="240" w:lineRule="auto"/>
      </w:pPr>
      <w:r>
        <w:t xml:space="preserve">Контрольные измерения сопротивления шлейфов сигнализации.</w:t>
      </w:r>
      <w:r/>
    </w:p>
    <w:p>
      <w:pPr>
        <w:pStyle w:val="904"/>
        <w:numPr>
          <w:ilvl w:val="0"/>
          <w:numId w:val="10"/>
        </w:numPr>
        <w:ind w:left="0" w:firstLine="709"/>
        <w:spacing w:after="0" w:line="240" w:lineRule="auto"/>
      </w:pPr>
      <w:r>
        <w:t xml:space="preserve">Контрольные измерения сопротивления изоляции шлейфов.</w:t>
      </w:r>
      <w:r/>
    </w:p>
    <w:p>
      <w:pPr>
        <w:pStyle w:val="904"/>
        <w:numPr>
          <w:ilvl w:val="0"/>
          <w:numId w:val="10"/>
        </w:numPr>
        <w:ind w:left="0" w:firstLine="709"/>
        <w:spacing w:after="0" w:line="240" w:lineRule="auto"/>
      </w:pPr>
      <w:r>
        <w:t xml:space="preserve">Проверка системы оповещения о пожаре.</w:t>
      </w:r>
      <w:r/>
    </w:p>
    <w:p>
      <w:pPr>
        <w:pStyle w:val="904"/>
        <w:numPr>
          <w:ilvl w:val="0"/>
          <w:numId w:val="10"/>
        </w:numPr>
        <w:ind w:left="0" w:firstLine="709"/>
        <w:spacing w:after="0" w:line="240" w:lineRule="auto"/>
      </w:pPr>
      <w:r>
        <w:t xml:space="preserve">Подписание акта сдачи-приемки выполненных работ.</w:t>
      </w:r>
      <w:r/>
    </w:p>
    <w:p>
      <w:pPr>
        <w:ind w:firstLine="709"/>
        <w:spacing w:after="0"/>
        <w:tabs>
          <w:tab w:val="num" w:pos="0" w:leader="none"/>
        </w:tabs>
      </w:pPr>
      <w:r>
        <w:t xml:space="preserve">4</w:t>
      </w:r>
      <w:r>
        <w:t xml:space="preserve">.1.2. Оказать Услуги в полном объеме в срок.</w:t>
      </w:r>
      <w:r/>
    </w:p>
    <w:p>
      <w:pPr>
        <w:ind w:firstLine="709"/>
        <w:spacing w:after="0"/>
        <w:tabs>
          <w:tab w:val="num" w:pos="0" w:leader="none"/>
        </w:tabs>
      </w:pPr>
      <w:r>
        <w:t xml:space="preserve">4.1.3. </w:t>
      </w:r>
      <w:r>
        <w:t xml:space="preserve">В случае выявления существе</w:t>
      </w:r>
      <w:r>
        <w:t xml:space="preserve">нных недостатков в проделанной работе, отражающихся на качестве оказанных услуг, за счет собственных средств собственными силами исправить по письменно мотивированному требованию Заказчика все выявленные недостатки в течение 30 (тридцати) календарных дней.</w:t>
      </w:r>
      <w:r/>
    </w:p>
    <w:p>
      <w:pPr>
        <w:ind w:firstLine="709"/>
        <w:spacing w:after="0"/>
        <w:tabs>
          <w:tab w:val="num" w:pos="0" w:leader="none"/>
        </w:tabs>
      </w:pPr>
      <w:r>
        <w:t xml:space="preserve">4</w:t>
      </w:r>
      <w:r>
        <w:t xml:space="preserve">.1.4. Бережно относиться к имуществу, переданному Заказчиком для оказания услуг.</w:t>
      </w:r>
      <w:r/>
    </w:p>
    <w:p>
      <w:pPr>
        <w:ind w:firstLine="709"/>
        <w:spacing w:after="0"/>
        <w:tabs>
          <w:tab w:val="num" w:pos="0" w:leader="none"/>
        </w:tabs>
      </w:pPr>
      <w:r>
        <w:t xml:space="preserve">4</w:t>
      </w:r>
      <w:r>
        <w:t xml:space="preserve">.1.5. При оказании услуг следовать указаниям Заказчика.</w:t>
      </w:r>
      <w:r/>
    </w:p>
    <w:p>
      <w:pPr>
        <w:ind w:firstLine="709"/>
        <w:spacing w:after="0"/>
        <w:tabs>
          <w:tab w:val="num" w:pos="0" w:leader="none"/>
        </w:tabs>
      </w:pPr>
      <w:r>
        <w:t xml:space="preserve">4</w:t>
      </w:r>
      <w:r>
        <w:t xml:space="preserve">.1.6. Сообщать по требованию Заказчика все сведения о ходе выполнения его указаний.</w:t>
      </w:r>
      <w:r/>
    </w:p>
    <w:p>
      <w:pPr>
        <w:ind w:firstLine="709"/>
        <w:spacing w:after="0"/>
        <w:tabs>
          <w:tab w:val="num" w:pos="0" w:leader="none"/>
        </w:tabs>
      </w:pPr>
      <w:r>
        <w:t xml:space="preserve">4</w:t>
      </w:r>
      <w:r>
        <w:t xml:space="preserve">.1.7. Исполнитель обязан немедленно предупредить Заказчика и до получения от него указаний приостановить работу при обнаружении:</w:t>
      </w:r>
      <w:r/>
    </w:p>
    <w:p>
      <w:pPr>
        <w:ind w:firstLine="709"/>
        <w:spacing w:after="0"/>
        <w:tabs>
          <w:tab w:val="num" w:pos="0" w:leader="none"/>
        </w:tabs>
      </w:pPr>
      <w:r>
        <w:t xml:space="preserve">а) возможных неблагоприятных для Заказчика последствий выполнения его указаний о способе выполнения услуги;</w:t>
      </w:r>
      <w:r/>
    </w:p>
    <w:p>
      <w:pPr>
        <w:pStyle w:val="904"/>
        <w:ind w:firstLine="709"/>
        <w:spacing w:after="0" w:line="240" w:lineRule="auto"/>
        <w:tabs>
          <w:tab w:val="num" w:pos="0" w:leader="none"/>
        </w:tabs>
      </w:pPr>
      <w:r>
        <w:t xml:space="preserve">б) иных, не зависящих от Исполнителя обстоятельствах, которые угрожают качеству оказываемых услуг либо создают невозможность их завершения в срок.</w:t>
      </w:r>
      <w:r/>
    </w:p>
    <w:p>
      <w:pPr>
        <w:ind w:firstLine="709"/>
        <w:spacing w:after="0"/>
        <w:tabs>
          <w:tab w:val="num" w:pos="0" w:leader="none"/>
        </w:tabs>
      </w:pPr>
      <w:r>
        <w:t xml:space="preserve">Исп</w:t>
      </w:r>
      <w:r>
        <w:t xml:space="preserve">олнитель, не предупредивший Заказчика об указанных обстоятельствах либо продолживший работу, не дожидаясь ответа или несмотря на своевременное указание Заказчика о прекращении работы, не вправе при возникновении спора ссылаться на указанные обстоятельства.</w:t>
      </w:r>
      <w:r/>
    </w:p>
    <w:p>
      <w:pPr>
        <w:pStyle w:val="898"/>
        <w:numPr>
          <w:ilvl w:val="2"/>
          <w:numId w:val="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Предоставить Заказчику подписанный со своей стороны акт сверки взаиморасчетов в течении 60 дней с момента оказания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8"/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bookmarkEnd w:id="0"/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96"/>
        <w:numPr>
          <w:ilvl w:val="0"/>
          <w:numId w:val="3"/>
        </w:numPr>
        <w:ind w:left="0" w:firstLine="709"/>
        <w:jc w:val="both"/>
        <w:tabs>
          <w:tab w:val="left" w:pos="993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Приемка в эксплуатацию технических средств сигнализации.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Приемка в эксплуатацию технических средств сигнализации осуществляется согласно РД 78.145-93 «Системы и комплексы охранной, пожарной и охранно-пожарной сигнализации. Правила производства и приемки работ».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Перед сдачей в эксплуатацию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оборудования пожарной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сигнализации проводятся ком</w:t>
      </w:r>
      <w:r>
        <w:rPr>
          <w:rFonts w:ascii="Times New Roman" w:hAnsi="Times New Roman" w:cs="Times New Roman"/>
          <w:bCs/>
          <w:sz w:val="24"/>
          <w:szCs w:val="24"/>
        </w:rPr>
        <w:t xml:space="preserve">плексные испытания в течение 5 </w:t>
      </w:r>
      <w:r>
        <w:rPr>
          <w:rFonts w:ascii="Times New Roman" w:hAnsi="Times New Roman" w:cs="Times New Roman"/>
          <w:bCs/>
          <w:sz w:val="24"/>
          <w:szCs w:val="24"/>
        </w:rPr>
        <w:t xml:space="preserve">дней. При этом производится фиксация в специальном журнале учета персоналом Заказчика (с круглосуточным пребыванием) всех случаев срабатывания с последующим анализом их причин. По окончании пуско-наладочных работ проводится обучение персонала Заказчика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Сдача - приемка смонтированных систем производится по результатам комплексной проверки, в ходе которой определяется техническое состояние, работоспособность и возможность их эксплуатации и составляется Акт о приемке </w:t>
      </w:r>
      <w:r>
        <w:rPr>
          <w:rFonts w:ascii="Times New Roman" w:hAnsi="Times New Roman" w:cs="Times New Roman"/>
          <w:bCs/>
          <w:sz w:val="24"/>
          <w:szCs w:val="24"/>
        </w:rPr>
        <w:t xml:space="preserve">охранно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-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пожарной сигнализации в эксплуатацию комиссией, состоящей из представителей Заказчика, Подрядчика и надзорного органа (пожарной охраны) (да</w:t>
      </w:r>
      <w:r>
        <w:rPr>
          <w:rFonts w:ascii="Times New Roman" w:hAnsi="Times New Roman" w:cs="Times New Roman"/>
          <w:bCs/>
          <w:sz w:val="24"/>
          <w:szCs w:val="24"/>
        </w:rPr>
        <w:t xml:space="preserve">лее – комиссия).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Требования к охране труда, технике безопасности и пожарной безопасности: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Подрядчик обязан обеспечивать выполнение работ с соблюдением норм пожарной безопасности, техники безопасности, охраны труда, охраны окружающей среды.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Ответственность за любые нарушения правил и требований по пожарной безопасности, техники безопасности, охраны труда, охраны окружающей среды, а также за последствия этих нарушений несет Подрядчик.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tabs>
          <w:tab w:val="left" w:pos="1134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 результатам работ и иные показатели, связанные с определением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соответствия выполняемых работ потребностям Заказчика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(приемка работ):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 окончанию работ Подрядчик передает Заказчику следующую документацию: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акт приемки выполненных работ по форме КС-2 на монтаж системы пожарной и охранной сигнализации;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справку стоимости выполненных работ и затрат по форме КС -3 на монтаж системы пожарной и охранной сигнализации;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акт о проведении входного контроля;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ведомость смонтированных приборов и оборудования;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протоколы замеров сопротивления изоляции проводов и кабелей;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акт о проведении комплексных испытаний;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кабельный журнал;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сертификаты соответствия, сертификаты (паспорта) качества, санитарно-эпидемиологические заключен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ия, сертификаты и/или заключения пожарной безопасности, удостоверяющие качество материалов, изделий, устройств и оборудования, применяемых при производстве монтажных и пусконаладочных работ, их соответствие государственным стандартам, техническим условиям;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техническую документацию предприятий-изго</w:t>
      </w:r>
      <w:r>
        <w:rPr>
          <w:rFonts w:ascii="Times New Roman" w:hAnsi="Times New Roman" w:cs="Times New Roman"/>
          <w:bCs/>
          <w:sz w:val="24"/>
          <w:szCs w:val="24"/>
        </w:rPr>
        <w:t xml:space="preserve">товителей на использованное при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монтаже оборудование;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инструкцию (руководство) по эксплуатации Системы.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Приемка выполненных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работ производится на основании акта приемки-передачи и акта выполненных работ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(КС-2), справки о стоимости выполнных работи затрат по форме КС-3, </w:t>
      </w:r>
      <w:r>
        <w:rPr>
          <w:rFonts w:ascii="Times New Roman" w:hAnsi="Times New Roman" w:cs="Times New Roman"/>
          <w:bCs/>
          <w:sz w:val="24"/>
          <w:szCs w:val="24"/>
        </w:rPr>
        <w:t xml:space="preserve">с выполнением всех юридических и фактических действий, предусмотренных действующим законодательством.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 обнаружении Заказчиком недостатков в выполненной работе Сторонами составляется акт, в котором фиксируется перечень недостатков и сроки их устранения Подрядчиком.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Подрядчик обязан устранить все обнаруженные недостатки своими силами и за свой счет в сроки, указанные в акте.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Датой сдачи выполнен</w:t>
      </w:r>
      <w:r>
        <w:rPr>
          <w:rFonts w:ascii="Times New Roman" w:hAnsi="Times New Roman" w:cs="Times New Roman"/>
          <w:bCs/>
          <w:sz w:val="24"/>
          <w:szCs w:val="24"/>
        </w:rPr>
        <w:t xml:space="preserve">ных работ считается дата подписания обеими Сторонами акта приемки выполненных работ, в случае обнаружения в ходе приемки работ недостатков - с момента устранения Подрядчиком всех выявленных недостатков согласно составленному сторонами рекламационному акту.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900"/>
        <w:ind w:firstLine="709"/>
        <w:rPr>
          <w:rFonts w:cs="Times New Roman"/>
          <w:spacing w:val="-2"/>
          <w:szCs w:val="24"/>
        </w:rPr>
      </w:pPr>
      <w:r>
        <w:rPr>
          <w:rFonts w:cs="Times New Roman"/>
          <w:spacing w:val="-2"/>
          <w:szCs w:val="24"/>
        </w:rPr>
        <w:t xml:space="preserve">Для проверки соответствия качества выполненных Исполнителем </w:t>
      </w:r>
      <w:r>
        <w:rPr>
          <w:rFonts w:cs="Times New Roman"/>
          <w:spacing w:val="-2"/>
          <w:szCs w:val="24"/>
          <w:lang w:val="tt-RU"/>
        </w:rPr>
        <w:t xml:space="preserve">у</w:t>
      </w:r>
      <w:r>
        <w:rPr>
          <w:rFonts w:cs="Times New Roman"/>
          <w:spacing w:val="-2"/>
          <w:szCs w:val="24"/>
        </w:rPr>
        <w:t xml:space="preserve">слуг требованиям, установленным настоящим Контрактом, Заказчик вправе привлекать независимых экспертов за свой счет. </w:t>
      </w:r>
      <w:r>
        <w:rPr>
          <w:rFonts w:cs="Times New Roman"/>
          <w:spacing w:val="-2"/>
          <w:szCs w:val="24"/>
        </w:rPr>
      </w:r>
      <w:r>
        <w:rPr>
          <w:rFonts w:cs="Times New Roman"/>
          <w:spacing w:val="-2"/>
          <w:szCs w:val="24"/>
        </w:rPr>
      </w:r>
    </w:p>
    <w:p>
      <w:pPr>
        <w:pStyle w:val="90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</w:r>
      <w:r>
        <w:rPr>
          <w:rFonts w:cs="Times New Roman"/>
          <w:szCs w:val="24"/>
        </w:rPr>
      </w:r>
      <w:r>
        <w:rPr>
          <w:rFonts w:cs="Times New Roman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гарантии качества выполненных работ и применяемых материалов и оборудования.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Подрядчик гарантирует качественное выполнение монтажных, пусконаладочных и других видов работ, выполняемых в рамках настоя</w:t>
      </w:r>
      <w:r>
        <w:rPr>
          <w:rFonts w:ascii="Times New Roman" w:hAnsi="Times New Roman" w:cs="Times New Roman"/>
          <w:bCs/>
          <w:sz w:val="24"/>
          <w:szCs w:val="24"/>
        </w:rPr>
        <w:t xml:space="preserve">щего технического задания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Гарантийный срок на выполненные работы составляет не менее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3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года.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Срок гарантии на установленное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оборудование должен быть установлен в пределах гарантийных обязательств завода - изготовителя, но не менее 12 (двенадцати) месяцев.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Гарантийный срок начинает действовать с момента подписания сторонами акта выполненных работ. Если в гарантийный период объекта обнаружатся дефекты, допущенные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дрядчиком и препятствующие нормальной работе Системы, то Подрядчик обязан их устранить в установленный Заказчиком срок за свой счет. При отказе Подрядчика от составления или подписания акта об обнаруженных дефектах и недоделках, для их подтверждения Заказч</w:t>
      </w:r>
      <w:r>
        <w:rPr>
          <w:rFonts w:ascii="Times New Roman" w:hAnsi="Times New Roman" w:cs="Times New Roman"/>
          <w:bCs/>
          <w:sz w:val="24"/>
          <w:szCs w:val="24"/>
        </w:rPr>
        <w:t xml:space="preserve">ик вправе провести независимую </w:t>
      </w:r>
      <w:r>
        <w:rPr>
          <w:rFonts w:ascii="Times New Roman" w:hAnsi="Times New Roman" w:cs="Times New Roman"/>
          <w:bCs/>
          <w:sz w:val="24"/>
          <w:szCs w:val="24"/>
        </w:rPr>
        <w:t xml:space="preserve">квалифицированную экспертизу с привлечением специалистов, по итогам которой составляется соответствующий акт, фиксирующий затраты по исправлению дефектов и недоделок, для обращения в Арбитражный суд.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течение гарантийного срока доставка неисправного оборудования для ремонта либо замены и обратно к Заказчику осуществляется за счет Подрядчика. Ремонт,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замена отказавших блоков, модулей, узлов и устройств на аналогичные осуществля</w:t>
      </w:r>
      <w:r>
        <w:rPr>
          <w:rFonts w:ascii="Times New Roman" w:hAnsi="Times New Roman" w:cs="Times New Roman"/>
          <w:bCs/>
          <w:sz w:val="24"/>
          <w:szCs w:val="24"/>
        </w:rPr>
        <w:t xml:space="preserve">ется в срок не более 24 часов,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прибытие оперативной бригады Подрядчика не позднее 18 часов после вызова.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Гарантийные обязательства на выполненные работы сохраняются в случае прекращения действия контракта.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96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</w:t>
      </w:r>
      <w:r>
        <w:rPr>
          <w:rFonts w:ascii="Times New Roman" w:hAnsi="Times New Roman" w:cs="Times New Roman"/>
          <w:b/>
          <w:sz w:val="24"/>
          <w:szCs w:val="24"/>
        </w:rPr>
        <w:t xml:space="preserve">. Требования к качеству товара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spacing w:after="0"/>
        <w:tabs>
          <w:tab w:val="left" w:pos="851" w:leader="none"/>
        </w:tabs>
      </w:pPr>
      <w:r>
        <w:t xml:space="preserve">При выполнении работ по монтажу систем пожарной сигнализации материалы, изделия и оборудование  должны быть новыми, в технически исправном состоянии и не иметь повреждений (не прошедшим ремонт (в </w:t>
      </w:r>
      <w:r>
        <w:t xml:space="preserve">т.ч</w:t>
      </w:r>
      <w:r>
        <w:t xml:space="preserve">. восстановление, замену составных частей), ранее не находившимся в использовании у Подрядчика и (или) у трет</w:t>
      </w:r>
      <w:r>
        <w:t xml:space="preserve">ьих лиц), все штатное оборудование должно  быть в рабочем состоянии, не должен находиться в залоге, под арестом или под иным обременением, соответствовать требованиям технической документации  заводов – изготовителей, действующих  технических регламентов, </w:t>
      </w:r>
      <w:r>
        <w:rPr>
          <w:lang w:val="tt-RU"/>
        </w:rPr>
        <w:t xml:space="preserve">СНиПов, </w:t>
      </w:r>
      <w:r>
        <w:t xml:space="preserve">ГОСТов. </w:t>
      </w:r>
      <w:r>
        <w:rPr>
          <w:lang w:val="tt-RU"/>
        </w:rPr>
        <w:t xml:space="preserve">И</w:t>
      </w:r>
      <w:r>
        <w:t xml:space="preserve">спользуемые</w:t>
      </w:r>
      <w:r>
        <w:t xml:space="preserve"> материалы и </w:t>
      </w:r>
      <w:r>
        <w:t xml:space="preserve">оборудовани</w:t>
      </w:r>
      <w:r>
        <w:rPr>
          <w:lang w:val="tt-RU"/>
        </w:rPr>
        <w:t xml:space="preserve">е </w:t>
      </w:r>
      <w:r>
        <w:t xml:space="preserve">должны соответствовать указанным </w:t>
      </w:r>
      <w:r>
        <w:t xml:space="preserve">Заказчиком техническим характеристикам, иметь сертификат соответствия. Заводские паспорта на материалы должны быть с указанием даты изготовления, ГОСТ, ТУ, вида упаковки, технические хара</w:t>
      </w:r>
      <w:r>
        <w:t xml:space="preserve">ктеристики, срок годности. </w:t>
      </w:r>
      <w:r/>
    </w:p>
    <w:p>
      <w:pPr>
        <w:ind w:firstLine="709"/>
        <w:spacing w:after="0"/>
        <w:tabs>
          <w:tab w:val="left" w:pos="0" w:leader="none"/>
        </w:tabs>
      </w:pPr>
      <w:r>
        <w:t xml:space="preserve">Подрядчик предоставляет на приборы и аппаратуру для автоматической пожарной сигнализации и систем оповещения документацию в соответствии с действующим законодательством Российской Федерации.</w:t>
      </w:r>
      <w:r/>
    </w:p>
    <w:p>
      <w:pPr>
        <w:ind w:firstLine="709"/>
        <w:spacing w:after="0"/>
        <w:tabs>
          <w:tab w:val="left" w:pos="0" w:leader="none"/>
        </w:tabs>
      </w:pPr>
      <w:r>
        <w:t xml:space="preserve">Материалы, используемые при производстве работ должны отвечать санитарным, противопожарным и прочим требованиям, иметь соответствующие сертификаты.</w:t>
      </w:r>
      <w:r/>
    </w:p>
    <w:p>
      <w:pPr>
        <w:ind w:firstLine="709"/>
        <w:spacing w:after="0"/>
        <w:tabs>
          <w:tab w:val="left" w:pos="0" w:leader="none"/>
        </w:tabs>
      </w:pPr>
      <w:r>
        <w:t xml:space="preserve">В случае применения новых, в том числе ввозимых из-за рубежа, материалов и конструкций, требования к которым не регламентированы СНиПами, </w:t>
      </w:r>
      <w:r>
        <w:t xml:space="preserve">госстандартами</w:t>
      </w:r>
      <w:r>
        <w:t xml:space="preserve">, техническими условиями и другими нормативными документами РФ, подтверждать их пригодность к применению на территории Российской Федерации.</w:t>
      </w:r>
      <w:r/>
    </w:p>
    <w:p>
      <w:pPr>
        <w:ind w:firstLine="709"/>
        <w:spacing w:after="0"/>
        <w:tabs>
          <w:tab w:val="left" w:pos="0" w:leader="none"/>
        </w:tabs>
      </w:pPr>
      <w:r>
        <w:t xml:space="preserve">Перед началом проведения работ произвести выбор необходимого обору</w:t>
      </w:r>
      <w:r>
        <w:t xml:space="preserve">дования, изделий и материалов по параметрам эквивалентности и согласовать с Заказчиком. Не допускается производить замену одних технических средств на другие, имеющие аналогичные технические и эксплуатационные характеристики, без согласования с Заказчиком.</w:t>
      </w:r>
      <w:r/>
    </w:p>
    <w:p>
      <w:pPr>
        <w:ind w:firstLine="709"/>
        <w:spacing w:after="0"/>
        <w:tabs>
          <w:tab w:val="left" w:pos="0" w:leader="none"/>
        </w:tabs>
      </w:pPr>
      <w:r/>
      <w:r/>
    </w:p>
    <w:p>
      <w:pPr>
        <w:pStyle w:val="898"/>
        <w:numPr>
          <w:ilvl w:val="0"/>
          <w:numId w:val="6"/>
        </w:numPr>
        <w:ind w:left="0" w:firstLine="709"/>
        <w:jc w:val="both"/>
        <w:tabs>
          <w:tab w:val="left" w:pos="1276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Срок выполнения работ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after="0"/>
        <w:tabs>
          <w:tab w:val="left" w:pos="993" w:leader="none"/>
        </w:tabs>
      </w:pPr>
      <w:r>
        <w:t xml:space="preserve">Подрядчик обязан оказать услуги лично. Подрядчик вправе с согласия Заказчика привлечь к исполнению настоящего договора иных лиц (</w:t>
      </w:r>
      <w:r>
        <w:t xml:space="preserve">субисполнителей</w:t>
      </w:r>
      <w:r>
        <w:t xml:space="preserve">). В случае привлечения иных лиц Исполнитель несет перед Заказчиком ответственность за последствия неисполнения или ненадлежащего исполнения обязательств </w:t>
      </w:r>
      <w:r>
        <w:t xml:space="preserve">субисполнителем</w:t>
      </w:r>
      <w:r>
        <w:t xml:space="preserve">.</w:t>
      </w:r>
      <w:r/>
    </w:p>
    <w:p>
      <w:pPr>
        <w:ind w:firstLine="709"/>
        <w:spacing w:after="0"/>
        <w:tabs>
          <w:tab w:val="left" w:pos="993" w:leader="none"/>
        </w:tabs>
      </w:pPr>
      <w:r>
        <w:t xml:space="preserve">Подрядчик обязан оказать </w:t>
      </w:r>
      <w:r>
        <w:t xml:space="preserve">Услуги в срок </w:t>
      </w:r>
      <w:r>
        <w:t xml:space="preserve">с </w:t>
      </w:r>
      <w:r>
        <w:t xml:space="preserve">даты</w:t>
      </w:r>
      <w:r>
        <w:t xml:space="preserve"> </w:t>
      </w:r>
      <w:r>
        <w:t xml:space="preserve">заключения</w:t>
      </w:r>
      <w:r>
        <w:t xml:space="preserve"> договора </w:t>
      </w:r>
      <w:r>
        <w:t xml:space="preserve">в течении</w:t>
      </w:r>
      <w:r>
        <w:t xml:space="preserve"> </w:t>
      </w:r>
      <w:r>
        <w:t xml:space="preserve">365 календарных дней</w:t>
      </w:r>
      <w:r>
        <w:t xml:space="preserve">.</w:t>
      </w:r>
      <w:r/>
    </w:p>
    <w:p>
      <w:pPr>
        <w:ind w:firstLine="709"/>
        <w:spacing w:after="0"/>
      </w:pPr>
      <w:r>
        <w:t xml:space="preserve">Заказчик вправе в любое время проверять ход и качество оказания Исполнителем Услуг, не вмешиваясь в его деятельность.</w:t>
      </w:r>
      <w:r/>
    </w:p>
    <w:p>
      <w:pPr>
        <w:ind w:firstLine="709"/>
        <w:spacing w:after="0"/>
      </w:pPr>
      <w:r>
        <w:t xml:space="preserve">Стороны обязуются немедленно информировать друг друга об обстоятельствах, препятствующих оказанию услуг, для своевременного принятия необходимых мер по их устранению. </w:t>
      </w:r>
      <w:r/>
    </w:p>
    <w:p>
      <w:pPr>
        <w:ind w:firstLine="709"/>
        <w:spacing w:after="0"/>
      </w:pPr>
      <w:r>
        <w:t xml:space="preserve">Услуги считаются оказанными после подписания Ст</w:t>
      </w:r>
      <w:r>
        <w:t xml:space="preserve">оронами Акта об оказании услуг.</w:t>
      </w:r>
      <w:r>
        <w:t xml:space="preserve"> </w:t>
      </w:r>
      <w:r/>
    </w:p>
    <w:p>
      <w:pPr>
        <w:ind w:firstLine="709"/>
        <w:spacing w:after="0"/>
      </w:pPr>
      <w:r>
        <w:t xml:space="preserve">Исполнитель имеет право оказать услуги досрочно с письменного согласия Заказчика.</w:t>
      </w:r>
      <w:r>
        <w:t xml:space="preserve"> </w:t>
      </w:r>
      <w:r>
        <w:t xml:space="preserve">Не позднее 15 дней </w:t>
      </w:r>
      <w:r>
        <w:t xml:space="preserve">подрядчик</w:t>
      </w:r>
      <w:r>
        <w:t xml:space="preserve"> передает Заказчику Акт об оказанных услугах. Заказчик должен подписать Акт об оказанных услугах в течение 15 дней, либо предоставить мотивированный отказ от приемки оказанных услуг.</w:t>
      </w:r>
      <w:r/>
    </w:p>
    <w:p>
      <w:pPr>
        <w:ind w:firstLine="709"/>
        <w:spacing w:after="0"/>
      </w:pPr>
      <w:r/>
      <w:r/>
    </w:p>
    <w:p>
      <w:pPr>
        <w:pStyle w:val="898"/>
        <w:numPr>
          <w:ilvl w:val="0"/>
          <w:numId w:val="6"/>
        </w:numPr>
        <w:ind w:left="0" w:firstLine="709"/>
        <w:jc w:val="both"/>
        <w:tabs>
          <w:tab w:val="left" w:pos="0" w:leader="none"/>
          <w:tab w:val="left" w:pos="426" w:leader="none"/>
          <w:tab w:val="left" w:pos="113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Форма, сроки и порядок оплаты выполненных работ.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98"/>
        <w:ind w:left="0" w:firstLine="709"/>
        <w:jc w:val="both"/>
        <w:tabs>
          <w:tab w:val="left" w:pos="0" w:leader="none"/>
          <w:tab w:val="left" w:pos="426" w:leader="none"/>
          <w:tab w:val="left" w:pos="1134" w:leader="none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Оплата за фактически выполненные работы производится Заказчиком по безналичному расчету платежными поручениями на расчетный счет Подрядчика в течение 30 </w:t>
      </w:r>
      <w:r>
        <w:rPr>
          <w:sz w:val="24"/>
          <w:szCs w:val="24"/>
        </w:rPr>
        <w:t xml:space="preserve">календарных</w:t>
      </w:r>
      <w:r>
        <w:rPr>
          <w:sz w:val="24"/>
          <w:szCs w:val="24"/>
        </w:rPr>
        <w:t xml:space="preserve"> дней </w:t>
      </w:r>
      <w:r>
        <w:rPr>
          <w:sz w:val="24"/>
          <w:szCs w:val="24"/>
        </w:rPr>
        <w:t xml:space="preserve">(для СМП 7 календарных дней) </w:t>
      </w:r>
      <w:r>
        <w:rPr>
          <w:sz w:val="24"/>
          <w:szCs w:val="24"/>
        </w:rPr>
        <w:t xml:space="preserve">со дня подписания Сторонами акта приемки выполненных работ, и предоставления Подрядчиком счета, счета - фактуры, оформленных в соответствии с требованиями действующих нормативных акто</w:t>
      </w:r>
      <w:r>
        <w:rPr>
          <w:sz w:val="24"/>
          <w:szCs w:val="24"/>
        </w:rPr>
        <w:t xml:space="preserve">в. Аванс не предусмотрен.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/>
      </w:pPr>
      <w:r>
        <w:separator/>
      </w:r>
      <w:r/>
    </w:p>
  </w:endnote>
  <w:endnote w:type="continuationSeparator" w:id="0">
    <w:p>
      <w:pPr>
        <w:spacing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6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4"/>
      <w:rPr>
        <w:rStyle w:val="893"/>
      </w:rPr>
      <w:framePr w:wrap="around" w:vAnchor="text" w:hAnchor="margin" w:xAlign="right" w:y="1"/>
    </w:pPr>
    <w:r>
      <w:rPr>
        <w:rStyle w:val="893"/>
      </w:rPr>
      <w:fldChar w:fldCharType="begin"/>
    </w:r>
    <w:r>
      <w:rPr>
        <w:rStyle w:val="893"/>
      </w:rPr>
      <w:instrText xml:space="preserve">PAGE  </w:instrText>
    </w:r>
    <w:r>
      <w:rPr>
        <w:rStyle w:val="893"/>
      </w:rPr>
      <w:fldChar w:fldCharType="separate"/>
    </w:r>
    <w:r>
      <w:rPr>
        <w:rStyle w:val="893"/>
      </w:rPr>
      <w:t xml:space="preserve">4</w:t>
    </w:r>
    <w:r>
      <w:rPr>
        <w:rStyle w:val="893"/>
      </w:rPr>
      <w:fldChar w:fldCharType="end"/>
    </w:r>
    <w:r>
      <w:rPr>
        <w:rStyle w:val="893"/>
      </w:rPr>
    </w:r>
    <w:r>
      <w:rPr>
        <w:rStyle w:val="893"/>
      </w:rPr>
    </w:r>
  </w:p>
  <w:p>
    <w:pPr>
      <w:pStyle w:val="894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4"/>
      <w:rPr>
        <w:rStyle w:val="893"/>
      </w:rPr>
      <w:framePr w:wrap="around" w:vAnchor="text" w:hAnchor="margin" w:xAlign="right" w:y="1"/>
    </w:pPr>
    <w:r>
      <w:rPr>
        <w:rStyle w:val="893"/>
      </w:rPr>
      <w:fldChar w:fldCharType="begin"/>
    </w:r>
    <w:r>
      <w:rPr>
        <w:rStyle w:val="893"/>
      </w:rPr>
      <w:instrText xml:space="preserve">PAGE  </w:instrText>
    </w:r>
    <w:r>
      <w:rPr>
        <w:rStyle w:val="893"/>
      </w:rPr>
      <w:fldChar w:fldCharType="separate"/>
    </w:r>
    <w:r>
      <w:rPr>
        <w:rStyle w:val="893"/>
      </w:rPr>
      <w:t xml:space="preserve">8</w:t>
    </w:r>
    <w:r>
      <w:rPr>
        <w:rStyle w:val="893"/>
      </w:rPr>
      <w:fldChar w:fldCharType="end"/>
    </w:r>
    <w:r>
      <w:rPr>
        <w:rStyle w:val="893"/>
      </w:rPr>
    </w:r>
    <w:r>
      <w:rPr>
        <w:rStyle w:val="893"/>
      </w:rPr>
    </w:r>
  </w:p>
  <w:p>
    <w:pPr>
      <w:pStyle w:val="894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cs="Times New Roman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6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8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0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2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4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6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8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06" w:hanging="180"/>
      </w:p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824" w:hanging="1290"/>
      </w:pPr>
      <w:rPr>
        <w:rFonts w:hint="default"/>
      </w:rPr>
    </w:lvl>
    <w:lvl w:ilvl="2">
      <w:start w:val="8"/>
      <w:numFmt w:val="decimal"/>
      <w:isLgl/>
      <w:suff w:val="tab"/>
      <w:lvlText w:val="%1.%2.%3."/>
      <w:lvlJc w:val="left"/>
      <w:pPr>
        <w:ind w:left="1998" w:hanging="129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72" w:hanging="129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46" w:hanging="129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520" w:hanging="129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4.%2."/>
      <w:lvlJc w:val="left"/>
      <w:pPr>
        <w:ind w:left="1211" w:hanging="360"/>
        <w:tabs>
          <w:tab w:val="num" w:pos="1211" w:leader="none"/>
        </w:tabs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6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8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0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2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4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6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8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06" w:hanging="180"/>
      </w:pPr>
    </w:lvl>
  </w:abstractNum>
  <w:abstractNum w:abstractNumId="5">
    <w:multiLevelType w:val="hybridMultilevel"/>
    <w:lvl w:ilvl="0">
      <w:start w:val="3"/>
      <w:numFmt w:val="bullet"/>
      <w:isLgl w:val="false"/>
      <w:suff w:val="tab"/>
      <w:lvlText w:val="-"/>
      <w:lvlJc w:val="left"/>
      <w:pPr>
        <w:ind w:left="1287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bullet"/>
      <w:isLgl w:val="false"/>
      <w:suff w:val="tab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9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49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321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93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65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37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609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81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53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2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2">
    <w:name w:val="Heading 1"/>
    <w:basedOn w:val="885"/>
    <w:next w:val="885"/>
    <w:link w:val="7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3">
    <w:name w:val="Heading 1 Char"/>
    <w:basedOn w:val="887"/>
    <w:link w:val="712"/>
    <w:uiPriority w:val="9"/>
    <w:rPr>
      <w:rFonts w:ascii="Arial" w:hAnsi="Arial" w:eastAsia="Arial" w:cs="Arial"/>
      <w:sz w:val="40"/>
      <w:szCs w:val="40"/>
    </w:rPr>
  </w:style>
  <w:style w:type="character" w:styleId="714">
    <w:name w:val="Heading 2 Char"/>
    <w:basedOn w:val="887"/>
    <w:link w:val="886"/>
    <w:uiPriority w:val="9"/>
    <w:rPr>
      <w:rFonts w:ascii="Arial" w:hAnsi="Arial" w:eastAsia="Arial" w:cs="Arial"/>
      <w:sz w:val="34"/>
    </w:rPr>
  </w:style>
  <w:style w:type="paragraph" w:styleId="715">
    <w:name w:val="Heading 3"/>
    <w:basedOn w:val="885"/>
    <w:next w:val="885"/>
    <w:link w:val="7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6">
    <w:name w:val="Heading 3 Char"/>
    <w:basedOn w:val="887"/>
    <w:link w:val="715"/>
    <w:uiPriority w:val="9"/>
    <w:rPr>
      <w:rFonts w:ascii="Arial" w:hAnsi="Arial" w:eastAsia="Arial" w:cs="Arial"/>
      <w:sz w:val="30"/>
      <w:szCs w:val="30"/>
    </w:rPr>
  </w:style>
  <w:style w:type="paragraph" w:styleId="717">
    <w:name w:val="Heading 4"/>
    <w:basedOn w:val="885"/>
    <w:next w:val="885"/>
    <w:link w:val="7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8">
    <w:name w:val="Heading 4 Char"/>
    <w:basedOn w:val="887"/>
    <w:link w:val="717"/>
    <w:uiPriority w:val="9"/>
    <w:rPr>
      <w:rFonts w:ascii="Arial" w:hAnsi="Arial" w:eastAsia="Arial" w:cs="Arial"/>
      <w:b/>
      <w:bCs/>
      <w:sz w:val="26"/>
      <w:szCs w:val="26"/>
    </w:rPr>
  </w:style>
  <w:style w:type="paragraph" w:styleId="719">
    <w:name w:val="Heading 5"/>
    <w:basedOn w:val="885"/>
    <w:next w:val="885"/>
    <w:link w:val="7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0">
    <w:name w:val="Heading 5 Char"/>
    <w:basedOn w:val="887"/>
    <w:link w:val="719"/>
    <w:uiPriority w:val="9"/>
    <w:rPr>
      <w:rFonts w:ascii="Arial" w:hAnsi="Arial" w:eastAsia="Arial" w:cs="Arial"/>
      <w:b/>
      <w:bCs/>
      <w:sz w:val="24"/>
      <w:szCs w:val="24"/>
    </w:rPr>
  </w:style>
  <w:style w:type="paragraph" w:styleId="721">
    <w:name w:val="Heading 6"/>
    <w:basedOn w:val="885"/>
    <w:next w:val="885"/>
    <w:link w:val="7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2">
    <w:name w:val="Heading 6 Char"/>
    <w:basedOn w:val="887"/>
    <w:link w:val="721"/>
    <w:uiPriority w:val="9"/>
    <w:rPr>
      <w:rFonts w:ascii="Arial" w:hAnsi="Arial" w:eastAsia="Arial" w:cs="Arial"/>
      <w:b/>
      <w:bCs/>
      <w:sz w:val="22"/>
      <w:szCs w:val="22"/>
    </w:rPr>
  </w:style>
  <w:style w:type="paragraph" w:styleId="723">
    <w:name w:val="Heading 7"/>
    <w:basedOn w:val="885"/>
    <w:next w:val="885"/>
    <w:link w:val="7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4">
    <w:name w:val="Heading 7 Char"/>
    <w:basedOn w:val="887"/>
    <w:link w:val="7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5">
    <w:name w:val="Heading 8"/>
    <w:basedOn w:val="885"/>
    <w:next w:val="885"/>
    <w:link w:val="7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6">
    <w:name w:val="Heading 8 Char"/>
    <w:basedOn w:val="887"/>
    <w:link w:val="725"/>
    <w:uiPriority w:val="9"/>
    <w:rPr>
      <w:rFonts w:ascii="Arial" w:hAnsi="Arial" w:eastAsia="Arial" w:cs="Arial"/>
      <w:i/>
      <w:iCs/>
      <w:sz w:val="22"/>
      <w:szCs w:val="22"/>
    </w:rPr>
  </w:style>
  <w:style w:type="paragraph" w:styleId="727">
    <w:name w:val="Heading 9"/>
    <w:basedOn w:val="885"/>
    <w:next w:val="885"/>
    <w:link w:val="7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8">
    <w:name w:val="Heading 9 Char"/>
    <w:basedOn w:val="887"/>
    <w:link w:val="727"/>
    <w:uiPriority w:val="9"/>
    <w:rPr>
      <w:rFonts w:ascii="Arial" w:hAnsi="Arial" w:eastAsia="Arial" w:cs="Arial"/>
      <w:i/>
      <w:iCs/>
      <w:sz w:val="21"/>
      <w:szCs w:val="21"/>
    </w:rPr>
  </w:style>
  <w:style w:type="paragraph" w:styleId="729">
    <w:name w:val="Title"/>
    <w:basedOn w:val="885"/>
    <w:next w:val="885"/>
    <w:link w:val="73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0">
    <w:name w:val="Title Char"/>
    <w:basedOn w:val="887"/>
    <w:link w:val="729"/>
    <w:uiPriority w:val="10"/>
    <w:rPr>
      <w:sz w:val="48"/>
      <w:szCs w:val="48"/>
    </w:rPr>
  </w:style>
  <w:style w:type="paragraph" w:styleId="731">
    <w:name w:val="Subtitle"/>
    <w:basedOn w:val="885"/>
    <w:next w:val="885"/>
    <w:link w:val="732"/>
    <w:uiPriority w:val="11"/>
    <w:qFormat/>
    <w:pPr>
      <w:spacing w:before="200" w:after="200"/>
    </w:pPr>
    <w:rPr>
      <w:sz w:val="24"/>
      <w:szCs w:val="24"/>
    </w:rPr>
  </w:style>
  <w:style w:type="character" w:styleId="732">
    <w:name w:val="Subtitle Char"/>
    <w:basedOn w:val="887"/>
    <w:link w:val="731"/>
    <w:uiPriority w:val="11"/>
    <w:rPr>
      <w:sz w:val="24"/>
      <w:szCs w:val="24"/>
    </w:rPr>
  </w:style>
  <w:style w:type="paragraph" w:styleId="733">
    <w:name w:val="Quote"/>
    <w:basedOn w:val="885"/>
    <w:next w:val="885"/>
    <w:link w:val="734"/>
    <w:uiPriority w:val="29"/>
    <w:qFormat/>
    <w:pPr>
      <w:ind w:left="720" w:right="720"/>
    </w:pPr>
    <w:rPr>
      <w:i/>
    </w:rPr>
  </w:style>
  <w:style w:type="character" w:styleId="734">
    <w:name w:val="Quote Char"/>
    <w:link w:val="733"/>
    <w:uiPriority w:val="29"/>
    <w:rPr>
      <w:i/>
    </w:rPr>
  </w:style>
  <w:style w:type="paragraph" w:styleId="735">
    <w:name w:val="Intense Quote"/>
    <w:basedOn w:val="885"/>
    <w:next w:val="885"/>
    <w:link w:val="73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6">
    <w:name w:val="Intense Quote Char"/>
    <w:link w:val="735"/>
    <w:uiPriority w:val="30"/>
    <w:rPr>
      <w:i/>
    </w:rPr>
  </w:style>
  <w:style w:type="paragraph" w:styleId="737">
    <w:name w:val="Header"/>
    <w:basedOn w:val="885"/>
    <w:link w:val="73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8">
    <w:name w:val="Header Char"/>
    <w:basedOn w:val="887"/>
    <w:link w:val="737"/>
    <w:uiPriority w:val="99"/>
  </w:style>
  <w:style w:type="character" w:styleId="739">
    <w:name w:val="Footer Char"/>
    <w:basedOn w:val="887"/>
    <w:link w:val="894"/>
    <w:uiPriority w:val="99"/>
  </w:style>
  <w:style w:type="paragraph" w:styleId="740">
    <w:name w:val="Caption"/>
    <w:basedOn w:val="885"/>
    <w:next w:val="8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1">
    <w:name w:val="Caption Char"/>
    <w:basedOn w:val="740"/>
    <w:link w:val="894"/>
    <w:uiPriority w:val="99"/>
  </w:style>
  <w:style w:type="table" w:styleId="742">
    <w:name w:val="Table Grid Light"/>
    <w:basedOn w:val="88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3">
    <w:name w:val="Plain Table 1"/>
    <w:basedOn w:val="88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>
    <w:name w:val="Plain Table 2"/>
    <w:basedOn w:val="88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5">
    <w:name w:val="Plain Table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6">
    <w:name w:val="Plain Table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Plain Table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8">
    <w:name w:val="Grid Table 1 Light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4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0">
    <w:name w:val="Grid Table 4 - Accent 1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1">
    <w:name w:val="Grid Table 4 - Accent 2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2">
    <w:name w:val="Grid Table 4 - Accent 3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3">
    <w:name w:val="Grid Table 4 - Accent 4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4">
    <w:name w:val="Grid Table 4 - Accent 5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5">
    <w:name w:val="Grid Table 4 - Accent 6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6">
    <w:name w:val="Grid Table 5 Dark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7">
    <w:name w:val="Grid Table 5 Dark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9">
    <w:name w:val="Grid Table 5 Dark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0">
    <w:name w:val="Grid Table 5 Dark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1">
    <w:name w:val="Grid Table 5 Dark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2">
    <w:name w:val="Grid Table 5 Dark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3">
    <w:name w:val="Grid Table 6 Colorful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4">
    <w:name w:val="Grid Table 6 Colorful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5">
    <w:name w:val="Grid Table 6 Colorful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6">
    <w:name w:val="Grid Table 6 Colorful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7">
    <w:name w:val="Grid Table 6 Colorful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8">
    <w:name w:val="Grid Table 6 Colorful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9">
    <w:name w:val="Grid Table 6 Colorful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0">
    <w:name w:val="Grid Table 7 Colorful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5">
    <w:name w:val="List Table 2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6">
    <w:name w:val="List Table 2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7">
    <w:name w:val="List Table 2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8">
    <w:name w:val="List Table 2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9">
    <w:name w:val="List Table 2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0">
    <w:name w:val="List Table 2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1">
    <w:name w:val="List Table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5 Dark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6 Colorful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3">
    <w:name w:val="List Table 6 Colorful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4">
    <w:name w:val="List Table 6 Colorful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5">
    <w:name w:val="List Table 6 Colorful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6">
    <w:name w:val="List Table 6 Colorful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7">
    <w:name w:val="List Table 6 Colorful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8">
    <w:name w:val="List Table 6 Colorful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9">
    <w:name w:val="List Table 7 Colorful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0">
    <w:name w:val="List Table 7 Colorful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1">
    <w:name w:val="List Table 7 Colorful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2">
    <w:name w:val="List Table 7 Colorful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3">
    <w:name w:val="List Table 7 Colorful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4">
    <w:name w:val="List Table 7 Colorful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5">
    <w:name w:val="List Table 7 Colorful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6">
    <w:name w:val="Lined - Accent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7">
    <w:name w:val="Lined - Accent 1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8">
    <w:name w:val="Lined - Accent 2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9">
    <w:name w:val="Lined - Accent 3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0">
    <w:name w:val="Lined - Accent 4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1">
    <w:name w:val="Lined - Accent 5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2">
    <w:name w:val="Lined - Accent 6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3">
    <w:name w:val="Bordered &amp; Lined - Accent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4">
    <w:name w:val="Bordered &amp; Lined - Accent 1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5">
    <w:name w:val="Bordered &amp; Lined - Accent 2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6">
    <w:name w:val="Bordered &amp; Lined - Accent 3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7">
    <w:name w:val="Bordered &amp; Lined - Accent 4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8">
    <w:name w:val="Bordered &amp; Lined - Accent 5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9">
    <w:name w:val="Bordered &amp; Lined - Accent 6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0">
    <w:name w:val="Bordered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1">
    <w:name w:val="Bordered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2">
    <w:name w:val="Bordered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3">
    <w:name w:val="Bordered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4">
    <w:name w:val="Bordered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5">
    <w:name w:val="Bordered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6">
    <w:name w:val="Bordered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7">
    <w:name w:val="Hyperlink"/>
    <w:uiPriority w:val="99"/>
    <w:unhideWhenUsed/>
    <w:rPr>
      <w:color w:val="0000ff" w:themeColor="hyperlink"/>
      <w:u w:val="single"/>
    </w:rPr>
  </w:style>
  <w:style w:type="paragraph" w:styleId="868">
    <w:name w:val="footnote text"/>
    <w:basedOn w:val="885"/>
    <w:link w:val="869"/>
    <w:uiPriority w:val="99"/>
    <w:semiHidden/>
    <w:unhideWhenUsed/>
    <w:pPr>
      <w:spacing w:after="40" w:line="240" w:lineRule="auto"/>
    </w:pPr>
    <w:rPr>
      <w:sz w:val="18"/>
    </w:rPr>
  </w:style>
  <w:style w:type="character" w:styleId="869">
    <w:name w:val="Footnote Text Char"/>
    <w:link w:val="868"/>
    <w:uiPriority w:val="99"/>
    <w:rPr>
      <w:sz w:val="18"/>
    </w:rPr>
  </w:style>
  <w:style w:type="character" w:styleId="870">
    <w:name w:val="footnote reference"/>
    <w:basedOn w:val="887"/>
    <w:uiPriority w:val="99"/>
    <w:unhideWhenUsed/>
    <w:rPr>
      <w:vertAlign w:val="superscript"/>
    </w:rPr>
  </w:style>
  <w:style w:type="paragraph" w:styleId="871">
    <w:name w:val="endnote text"/>
    <w:basedOn w:val="885"/>
    <w:link w:val="872"/>
    <w:uiPriority w:val="99"/>
    <w:semiHidden/>
    <w:unhideWhenUsed/>
    <w:pPr>
      <w:spacing w:after="0" w:line="240" w:lineRule="auto"/>
    </w:pPr>
    <w:rPr>
      <w:sz w:val="20"/>
    </w:rPr>
  </w:style>
  <w:style w:type="character" w:styleId="872">
    <w:name w:val="Endnote Text Char"/>
    <w:link w:val="871"/>
    <w:uiPriority w:val="99"/>
    <w:rPr>
      <w:sz w:val="20"/>
    </w:rPr>
  </w:style>
  <w:style w:type="character" w:styleId="873">
    <w:name w:val="endnote reference"/>
    <w:basedOn w:val="887"/>
    <w:uiPriority w:val="99"/>
    <w:semiHidden/>
    <w:unhideWhenUsed/>
    <w:rPr>
      <w:vertAlign w:val="superscript"/>
    </w:rPr>
  </w:style>
  <w:style w:type="paragraph" w:styleId="874">
    <w:name w:val="toc 1"/>
    <w:basedOn w:val="885"/>
    <w:next w:val="885"/>
    <w:uiPriority w:val="39"/>
    <w:unhideWhenUsed/>
    <w:pPr>
      <w:ind w:left="0" w:right="0" w:firstLine="0"/>
      <w:spacing w:after="57"/>
    </w:pPr>
  </w:style>
  <w:style w:type="paragraph" w:styleId="875">
    <w:name w:val="toc 2"/>
    <w:basedOn w:val="885"/>
    <w:next w:val="885"/>
    <w:uiPriority w:val="39"/>
    <w:unhideWhenUsed/>
    <w:pPr>
      <w:ind w:left="283" w:right="0" w:firstLine="0"/>
      <w:spacing w:after="57"/>
    </w:pPr>
  </w:style>
  <w:style w:type="paragraph" w:styleId="876">
    <w:name w:val="toc 3"/>
    <w:basedOn w:val="885"/>
    <w:next w:val="885"/>
    <w:uiPriority w:val="39"/>
    <w:unhideWhenUsed/>
    <w:pPr>
      <w:ind w:left="567" w:right="0" w:firstLine="0"/>
      <w:spacing w:after="57"/>
    </w:pPr>
  </w:style>
  <w:style w:type="paragraph" w:styleId="877">
    <w:name w:val="toc 4"/>
    <w:basedOn w:val="885"/>
    <w:next w:val="885"/>
    <w:uiPriority w:val="39"/>
    <w:unhideWhenUsed/>
    <w:pPr>
      <w:ind w:left="850" w:right="0" w:firstLine="0"/>
      <w:spacing w:after="57"/>
    </w:pPr>
  </w:style>
  <w:style w:type="paragraph" w:styleId="878">
    <w:name w:val="toc 5"/>
    <w:basedOn w:val="885"/>
    <w:next w:val="885"/>
    <w:uiPriority w:val="39"/>
    <w:unhideWhenUsed/>
    <w:pPr>
      <w:ind w:left="1134" w:right="0" w:firstLine="0"/>
      <w:spacing w:after="57"/>
    </w:pPr>
  </w:style>
  <w:style w:type="paragraph" w:styleId="879">
    <w:name w:val="toc 6"/>
    <w:basedOn w:val="885"/>
    <w:next w:val="885"/>
    <w:uiPriority w:val="39"/>
    <w:unhideWhenUsed/>
    <w:pPr>
      <w:ind w:left="1417" w:right="0" w:firstLine="0"/>
      <w:spacing w:after="57"/>
    </w:pPr>
  </w:style>
  <w:style w:type="paragraph" w:styleId="880">
    <w:name w:val="toc 7"/>
    <w:basedOn w:val="885"/>
    <w:next w:val="885"/>
    <w:uiPriority w:val="39"/>
    <w:unhideWhenUsed/>
    <w:pPr>
      <w:ind w:left="1701" w:right="0" w:firstLine="0"/>
      <w:spacing w:after="57"/>
    </w:pPr>
  </w:style>
  <w:style w:type="paragraph" w:styleId="881">
    <w:name w:val="toc 8"/>
    <w:basedOn w:val="885"/>
    <w:next w:val="885"/>
    <w:uiPriority w:val="39"/>
    <w:unhideWhenUsed/>
    <w:pPr>
      <w:ind w:left="1984" w:right="0" w:firstLine="0"/>
      <w:spacing w:after="57"/>
    </w:pPr>
  </w:style>
  <w:style w:type="paragraph" w:styleId="882">
    <w:name w:val="toc 9"/>
    <w:basedOn w:val="885"/>
    <w:next w:val="885"/>
    <w:uiPriority w:val="39"/>
    <w:unhideWhenUsed/>
    <w:pPr>
      <w:ind w:left="2268" w:right="0" w:firstLine="0"/>
      <w:spacing w:after="57"/>
    </w:pPr>
  </w:style>
  <w:style w:type="paragraph" w:styleId="883">
    <w:name w:val="TOC Heading"/>
    <w:uiPriority w:val="39"/>
    <w:unhideWhenUsed/>
  </w:style>
  <w:style w:type="paragraph" w:styleId="884">
    <w:name w:val="table of figures"/>
    <w:basedOn w:val="885"/>
    <w:next w:val="885"/>
    <w:uiPriority w:val="99"/>
    <w:unhideWhenUsed/>
    <w:pPr>
      <w:spacing w:after="0" w:afterAutospacing="0"/>
    </w:pPr>
  </w:style>
  <w:style w:type="paragraph" w:styleId="885" w:default="1">
    <w:name w:val="Normal"/>
    <w:qFormat/>
    <w:pPr>
      <w:jc w:val="both"/>
      <w:spacing w:after="6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6">
    <w:name w:val="Heading 2"/>
    <w:basedOn w:val="885"/>
    <w:next w:val="885"/>
    <w:link w:val="890"/>
    <w:uiPriority w:val="99"/>
    <w:qFormat/>
    <w:pPr>
      <w:jc w:val="center"/>
      <w:keepNext/>
      <w:outlineLvl w:val="1"/>
    </w:pPr>
    <w:rPr>
      <w:b/>
      <w:sz w:val="30"/>
      <w:szCs w:val="20"/>
    </w:rPr>
  </w:style>
  <w:style w:type="character" w:styleId="887" w:default="1">
    <w:name w:val="Default Paragraph Font"/>
    <w:uiPriority w:val="1"/>
    <w:semiHidden/>
    <w:unhideWhenUsed/>
  </w:style>
  <w:style w:type="table" w:styleId="88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9" w:default="1">
    <w:name w:val="No List"/>
    <w:uiPriority w:val="99"/>
    <w:semiHidden/>
    <w:unhideWhenUsed/>
  </w:style>
  <w:style w:type="character" w:styleId="890" w:customStyle="1">
    <w:name w:val="Заголовок 2 Знак"/>
    <w:basedOn w:val="887"/>
    <w:link w:val="886"/>
    <w:uiPriority w:val="99"/>
    <w:rPr>
      <w:rFonts w:ascii="Times New Roman" w:hAnsi="Times New Roman" w:eastAsia="Times New Roman" w:cs="Times New Roman"/>
      <w:b/>
      <w:sz w:val="30"/>
      <w:szCs w:val="20"/>
      <w:lang w:eastAsia="ru-RU"/>
    </w:rPr>
  </w:style>
  <w:style w:type="paragraph" w:styleId="891">
    <w:name w:val="Body Text"/>
    <w:basedOn w:val="885"/>
    <w:link w:val="892"/>
    <w:uiPriority w:val="99"/>
    <w:pPr>
      <w:spacing w:after="120"/>
    </w:pPr>
    <w:rPr>
      <w:szCs w:val="20"/>
    </w:rPr>
  </w:style>
  <w:style w:type="character" w:styleId="892" w:customStyle="1">
    <w:name w:val="Основной текст Знак"/>
    <w:basedOn w:val="887"/>
    <w:link w:val="891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893">
    <w:name w:val="page number"/>
    <w:rPr>
      <w:rFonts w:ascii="Times New Roman" w:hAnsi="Times New Roman"/>
    </w:rPr>
  </w:style>
  <w:style w:type="paragraph" w:styleId="894">
    <w:name w:val="Footer"/>
    <w:basedOn w:val="885"/>
    <w:link w:val="895"/>
    <w:uiPriority w:val="99"/>
    <w:pPr>
      <w:tabs>
        <w:tab w:val="center" w:pos="4153" w:leader="none"/>
        <w:tab w:val="right" w:pos="8306" w:leader="none"/>
      </w:tabs>
    </w:pPr>
    <w:rPr>
      <w:szCs w:val="20"/>
    </w:rPr>
  </w:style>
  <w:style w:type="character" w:styleId="895" w:customStyle="1">
    <w:name w:val="Нижний колонтитул Знак"/>
    <w:basedOn w:val="887"/>
    <w:link w:val="894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896" w:customStyle="1">
    <w:name w:val="ConsPlusNormal"/>
    <w:link w:val="899"/>
    <w:uiPriority w:val="99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table" w:styleId="897">
    <w:name w:val="Table Grid"/>
    <w:basedOn w:val="888"/>
    <w:uiPriority w:val="99"/>
    <w:pPr>
      <w:jc w:val="both"/>
      <w:spacing w:after="6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8">
    <w:name w:val="List Paragraph"/>
    <w:basedOn w:val="885"/>
    <w:uiPriority w:val="99"/>
    <w:qFormat/>
    <w:pPr>
      <w:contextualSpacing/>
      <w:ind w:left="720"/>
      <w:jc w:val="left"/>
      <w:spacing w:after="0"/>
    </w:pPr>
    <w:rPr>
      <w:sz w:val="20"/>
      <w:szCs w:val="20"/>
    </w:rPr>
  </w:style>
  <w:style w:type="character" w:styleId="899" w:customStyle="1">
    <w:name w:val="ConsPlusNormal Знак"/>
    <w:link w:val="896"/>
    <w:uiPriority w:val="99"/>
    <w:rPr>
      <w:rFonts w:ascii="Arial" w:hAnsi="Arial" w:eastAsia="Times New Roman" w:cs="Arial"/>
      <w:sz w:val="20"/>
      <w:szCs w:val="20"/>
      <w:lang w:eastAsia="ru-RU"/>
    </w:rPr>
  </w:style>
  <w:style w:type="paragraph" w:styleId="900" w:customStyle="1">
    <w:name w:val="Основной текст 21"/>
    <w:basedOn w:val="885"/>
    <w:pPr>
      <w:spacing w:after="0"/>
      <w:widowControl w:val="off"/>
    </w:pPr>
    <w:rPr>
      <w:rFonts w:cs="Arial"/>
      <w:szCs w:val="18"/>
    </w:rPr>
  </w:style>
  <w:style w:type="character" w:styleId="901" w:customStyle="1">
    <w:name w:val="reference-text"/>
    <w:uiPriority w:val="99"/>
    <w:rPr>
      <w:rFonts w:cs="Times New Roman"/>
    </w:rPr>
  </w:style>
  <w:style w:type="paragraph" w:styleId="902">
    <w:name w:val="Balloon Text"/>
    <w:basedOn w:val="885"/>
    <w:link w:val="903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styleId="903" w:customStyle="1">
    <w:name w:val="Текст выноски Знак"/>
    <w:basedOn w:val="887"/>
    <w:link w:val="90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04">
    <w:name w:val="Body Text 2"/>
    <w:basedOn w:val="885"/>
    <w:link w:val="905"/>
    <w:uiPriority w:val="99"/>
    <w:semiHidden/>
    <w:unhideWhenUsed/>
    <w:pPr>
      <w:spacing w:after="120" w:line="480" w:lineRule="auto"/>
    </w:pPr>
  </w:style>
  <w:style w:type="character" w:styleId="905" w:customStyle="1">
    <w:name w:val="Основной текст 2 Знак"/>
    <w:basedOn w:val="887"/>
    <w:link w:val="904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6">
    <w:name w:val="No Spacing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4D116-3941-4981-A5A3-83C280D98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Орланович Отук-оол</dc:creator>
  <cp:revision>9</cp:revision>
  <dcterms:created xsi:type="dcterms:W3CDTF">2024-07-29T06:05:00Z</dcterms:created>
  <dcterms:modified xsi:type="dcterms:W3CDTF">2025-08-25T08:47:49Z</dcterms:modified>
</cp:coreProperties>
</file>